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2024</w:t>
      </w:r>
    </w:p>
    <w:p>
      <w:pPr>
        <w:spacing w:after="0" w:line="1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Surgery Partners,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28" w:lineRule="exact"/>
        <w:rPr>
          <w:sz w:val="24"/>
          <w:szCs w:val="24"/>
          <w:color w:val="auto"/>
        </w:rPr>
      </w:pPr>
    </w:p>
    <w:tbl>
      <w:tblPr>
        <w:tblLayout w:type="fixed"/>
        <w:tblInd w:w="1280" w:type="dxa"/>
        <w:tblCellMar>
          <w:top w:w="0" w:type="dxa"/>
          <w:left w:w="0" w:type="dxa"/>
          <w:bottom w:w="0" w:type="dxa"/>
          <w:right w:w="0" w:type="dxa"/>
        </w:tblCellMar>
      </w:tblPr>
      <w:tr>
        <w:trPr>
          <w:trHeight w:val="238"/>
        </w:trPr>
        <w:tc>
          <w:tcPr>
            <w:tcW w:w="2140" w:type="dxa"/>
            <w:vAlign w:val="bottom"/>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40" w:type="dxa"/>
            <w:vAlign w:val="bottom"/>
          </w:tcPr>
          <w:p>
            <w:pPr>
              <w:jc w:val="right"/>
              <w:ind w:right="1855"/>
              <w:spacing w:after="0"/>
              <w:rPr>
                <w:sz w:val="20"/>
                <w:szCs w:val="20"/>
                <w:color w:val="auto"/>
              </w:rPr>
            </w:pPr>
            <w:r>
              <w:rPr>
                <w:rFonts w:ascii="Times New Roman" w:cs="Times New Roman" w:eastAsia="Times New Roman" w:hAnsi="Times New Roman"/>
                <w:sz w:val="18"/>
                <w:szCs w:val="18"/>
                <w:b w:val="1"/>
                <w:bCs w:val="1"/>
                <w:color w:val="auto"/>
              </w:rPr>
              <w:t>001-37576</w:t>
            </w:r>
          </w:p>
        </w:tc>
        <w:tc>
          <w:tcPr>
            <w:tcW w:w="1740" w:type="dxa"/>
            <w:vAlign w:val="bottom"/>
          </w:tcPr>
          <w:p>
            <w:pPr>
              <w:jc w:val="center"/>
              <w:ind w:left="436"/>
              <w:spacing w:after="0"/>
              <w:rPr>
                <w:sz w:val="20"/>
                <w:szCs w:val="20"/>
                <w:color w:val="auto"/>
              </w:rPr>
            </w:pPr>
            <w:r>
              <w:rPr>
                <w:rFonts w:ascii="Times New Roman" w:cs="Times New Roman" w:eastAsia="Times New Roman" w:hAnsi="Times New Roman"/>
                <w:sz w:val="18"/>
                <w:szCs w:val="18"/>
                <w:b w:val="1"/>
                <w:bCs w:val="1"/>
                <w:color w:val="auto"/>
                <w:w w:val="98"/>
              </w:rPr>
              <w:t>47-3620923</w:t>
            </w:r>
          </w:p>
        </w:tc>
      </w:tr>
      <w:tr>
        <w:trPr>
          <w:trHeight w:val="162"/>
        </w:trPr>
        <w:tc>
          <w:tcPr>
            <w:tcW w:w="2140" w:type="dxa"/>
            <w:vAlign w:val="bottom"/>
          </w:tcPr>
          <w:p>
            <w:pPr>
              <w:jc w:val="center"/>
              <w:ind w:right="296"/>
              <w:spacing w:after="0" w:line="162" w:lineRule="exact"/>
              <w:rPr>
                <w:sz w:val="20"/>
                <w:szCs w:val="20"/>
                <w:color w:val="auto"/>
              </w:rPr>
            </w:pPr>
            <w:r>
              <w:rPr>
                <w:rFonts w:ascii="Times New Roman" w:cs="Times New Roman" w:eastAsia="Times New Roman" w:hAnsi="Times New Roman"/>
                <w:sz w:val="16"/>
                <w:szCs w:val="16"/>
                <w:color w:val="auto"/>
              </w:rPr>
              <w:t>(State or Other Jurisdiction</w:t>
            </w:r>
          </w:p>
        </w:tc>
        <w:tc>
          <w:tcPr>
            <w:tcW w:w="45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color w:val="auto"/>
              </w:rPr>
              <w:t>(Commission</w:t>
            </w:r>
          </w:p>
        </w:tc>
        <w:tc>
          <w:tcPr>
            <w:tcW w:w="1740" w:type="dxa"/>
            <w:vAlign w:val="bottom"/>
          </w:tcPr>
          <w:p>
            <w:pPr>
              <w:jc w:val="center"/>
              <w:ind w:left="43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140" w:type="dxa"/>
            <w:vAlign w:val="bottom"/>
          </w:tcPr>
          <w:p>
            <w:pPr>
              <w:jc w:val="center"/>
              <w:ind w:right="296"/>
              <w:spacing w:after="0"/>
              <w:rPr>
                <w:sz w:val="20"/>
                <w:szCs w:val="20"/>
                <w:color w:val="auto"/>
              </w:rPr>
            </w:pPr>
            <w:r>
              <w:rPr>
                <w:rFonts w:ascii="Times New Roman" w:cs="Times New Roman" w:eastAsia="Times New Roman" w:hAnsi="Times New Roman"/>
                <w:sz w:val="16"/>
                <w:szCs w:val="16"/>
                <w:color w:val="auto"/>
              </w:rPr>
              <w:t>of Incorporation)</w:t>
            </w: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File Number)</w:t>
            </w:r>
          </w:p>
        </w:tc>
        <w:tc>
          <w:tcPr>
            <w:tcW w:w="1740" w:type="dxa"/>
            <w:vAlign w:val="bottom"/>
          </w:tcPr>
          <w:p>
            <w:pPr>
              <w:jc w:val="center"/>
              <w:ind w:left="456"/>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88"/>
        </w:trPr>
        <w:tc>
          <w:tcPr>
            <w:tcW w:w="2140" w:type="dxa"/>
            <w:vAlign w:val="bottom"/>
          </w:tcPr>
          <w:p>
            <w:pPr>
              <w:spacing w:after="0"/>
              <w:rPr>
                <w:sz w:val="24"/>
                <w:szCs w:val="24"/>
                <w:color w:val="auto"/>
              </w:rPr>
            </w:pPr>
          </w:p>
        </w:tc>
        <w:tc>
          <w:tcPr>
            <w:tcW w:w="454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340 Seven Springs Way, Suite 600</w:t>
            </w:r>
          </w:p>
        </w:tc>
        <w:tc>
          <w:tcPr>
            <w:tcW w:w="1740" w:type="dxa"/>
            <w:vAlign w:val="bottom"/>
          </w:tcPr>
          <w:p>
            <w:pPr>
              <w:spacing w:after="0"/>
              <w:rPr>
                <w:sz w:val="24"/>
                <w:szCs w:val="24"/>
                <w:color w:val="auto"/>
              </w:rPr>
            </w:pPr>
          </w:p>
        </w:tc>
      </w:tr>
      <w:tr>
        <w:trPr>
          <w:trHeight w:val="224"/>
        </w:trPr>
        <w:tc>
          <w:tcPr>
            <w:tcW w:w="2140" w:type="dxa"/>
            <w:vAlign w:val="bottom"/>
          </w:tcPr>
          <w:p>
            <w:pPr>
              <w:spacing w:after="0"/>
              <w:rPr>
                <w:sz w:val="19"/>
                <w:szCs w:val="19"/>
                <w:color w:val="auto"/>
              </w:rPr>
            </w:pP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Brentwood, Tennessee 37027</w:t>
            </w:r>
          </w:p>
        </w:tc>
        <w:tc>
          <w:tcPr>
            <w:tcW w:w="1740" w:type="dxa"/>
            <w:vAlign w:val="bottom"/>
          </w:tcPr>
          <w:p>
            <w:pPr>
              <w:spacing w:after="0"/>
              <w:rPr>
                <w:sz w:val="19"/>
                <w:szCs w:val="19"/>
                <w:color w:val="auto"/>
              </w:rPr>
            </w:pPr>
          </w:p>
        </w:tc>
      </w:tr>
      <w:tr>
        <w:trPr>
          <w:trHeight w:val="210"/>
        </w:trPr>
        <w:tc>
          <w:tcPr>
            <w:tcW w:w="2140" w:type="dxa"/>
            <w:vAlign w:val="bottom"/>
          </w:tcPr>
          <w:p>
            <w:pPr>
              <w:spacing w:after="0"/>
              <w:rPr>
                <w:sz w:val="18"/>
                <w:szCs w:val="18"/>
                <w:color w:val="auto"/>
              </w:rPr>
            </w:pP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40" w:type="dxa"/>
            <w:vAlign w:val="bottom"/>
          </w:tcPr>
          <w:p>
            <w:pPr>
              <w:spacing w:after="0"/>
              <w:rPr>
                <w:sz w:val="18"/>
                <w:szCs w:val="18"/>
                <w:color w:val="auto"/>
              </w:rPr>
            </w:pPr>
          </w:p>
        </w:tc>
      </w:tr>
      <w:tr>
        <w:trPr>
          <w:trHeight w:val="316"/>
        </w:trPr>
        <w:tc>
          <w:tcPr>
            <w:tcW w:w="2140" w:type="dxa"/>
            <w:vAlign w:val="bottom"/>
          </w:tcPr>
          <w:p>
            <w:pPr>
              <w:spacing w:after="0"/>
              <w:rPr>
                <w:sz w:val="24"/>
                <w:szCs w:val="24"/>
                <w:color w:val="auto"/>
              </w:rPr>
            </w:pPr>
          </w:p>
        </w:tc>
        <w:tc>
          <w:tcPr>
            <w:tcW w:w="4540" w:type="dxa"/>
            <w:vAlign w:val="bottom"/>
          </w:tcPr>
          <w:p>
            <w:pPr>
              <w:jc w:val="right"/>
              <w:ind w:right="1695"/>
              <w:spacing w:after="0"/>
              <w:rPr>
                <w:sz w:val="20"/>
                <w:szCs w:val="20"/>
                <w:color w:val="auto"/>
              </w:rPr>
            </w:pPr>
            <w:r>
              <w:rPr>
                <w:rFonts w:ascii="Times New Roman" w:cs="Times New Roman" w:eastAsia="Times New Roman" w:hAnsi="Times New Roman"/>
                <w:sz w:val="18"/>
                <w:szCs w:val="18"/>
                <w:b w:val="1"/>
                <w:bCs w:val="1"/>
                <w:color w:val="auto"/>
              </w:rPr>
              <w:t>(615) 234-5900</w:t>
            </w:r>
          </w:p>
        </w:tc>
        <w:tc>
          <w:tcPr>
            <w:tcW w:w="1740" w:type="dxa"/>
            <w:vAlign w:val="bottom"/>
          </w:tcPr>
          <w:p>
            <w:pPr>
              <w:spacing w:after="0"/>
              <w:rPr>
                <w:sz w:val="24"/>
                <w:szCs w:val="24"/>
                <w:color w:val="auto"/>
              </w:rPr>
            </w:pPr>
          </w:p>
        </w:tc>
      </w:tr>
      <w:tr>
        <w:trPr>
          <w:trHeight w:val="210"/>
        </w:trPr>
        <w:tc>
          <w:tcPr>
            <w:tcW w:w="2140" w:type="dxa"/>
            <w:vAlign w:val="bottom"/>
          </w:tcPr>
          <w:p>
            <w:pPr>
              <w:spacing w:after="0"/>
              <w:rPr>
                <w:sz w:val="18"/>
                <w:szCs w:val="18"/>
                <w:color w:val="auto"/>
              </w:rPr>
            </w:pP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40" w:type="dxa"/>
            <w:vAlign w:val="bottom"/>
          </w:tcPr>
          <w:p>
            <w:pPr>
              <w:spacing w:after="0"/>
              <w:rPr>
                <w:sz w:val="18"/>
                <w:szCs w:val="18"/>
                <w:color w:val="auto"/>
              </w:rPr>
            </w:pPr>
          </w:p>
        </w:tc>
      </w:tr>
    </w:tbl>
    <w:p>
      <w:pPr>
        <w:spacing w:after="0" w:line="33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3540" w:firstLine="8"/>
        <w:spacing w:after="0" w:line="474" w:lineRule="auto"/>
        <w:tabs>
          <w:tab w:leader="none" w:pos="31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32" w:lineRule="exact"/>
        <w:rPr>
          <w:sz w:val="24"/>
          <w:szCs w:val="24"/>
          <w:color w:val="auto"/>
        </w:rPr>
      </w:pPr>
    </w:p>
    <w:tbl>
      <w:tblPr>
        <w:tblLayout w:type="fixed"/>
        <w:tblInd w:w="340" w:type="dxa"/>
        <w:tblCellMar>
          <w:top w:w="0" w:type="dxa"/>
          <w:left w:w="0" w:type="dxa"/>
          <w:bottom w:w="0" w:type="dxa"/>
          <w:right w:w="0" w:type="dxa"/>
        </w:tblCellMar>
      </w:tblPr>
      <w:tr>
        <w:trPr>
          <w:trHeight w:val="190"/>
        </w:trPr>
        <w:tc>
          <w:tcPr>
            <w:tcW w:w="43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04"/>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7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SGRY</w:t>
            </w:r>
          </w:p>
        </w:tc>
        <w:tc>
          <w:tcPr>
            <w:tcW w:w="72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3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44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4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6, 2024, Surgery Partners, Inc. (the “Company”) held its 2024 Annual Meeting of Stockholders (the “Annual Meeting”). As of the close of business on April 8, 2024, the record date for the Annual Meeting (the “Record Date”), 127,101,670 shares of the Company’s common stock were outstanding and entitled to vote.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matters voted on at the Annual Meeting and the final results of such voting were as follows:</w:t>
      </w:r>
    </w:p>
    <w:p>
      <w:pPr>
        <w:spacing w:after="0" w:line="11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 Election of Class III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elected each of the director nominees to serve as a Class III director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2027 annual meeting of stockholders and until each such successor has been elected and qualified. Each of the nominees was a current Class III director of the Company who was re-elected. The results of the vote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Clifford G. Adlerz</w:t>
            </w: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115,827,639</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6,509,409</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1,952,220</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Eric Evans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115,825,708</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6,511,340</w:t>
            </w:r>
          </w:p>
        </w:tc>
        <w:tc>
          <w:tcPr>
            <w:tcW w:w="10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1,952,220</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Blair E. Hendrix</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100,770,568</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21,566,480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1,952,220</w:t>
            </w: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T. Kaplan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115,622,481</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6,714,567</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1,952,220</w:t>
            </w:r>
          </w:p>
        </w:tc>
      </w:tr>
    </w:tbl>
    <w:p>
      <w:pPr>
        <w:spacing w:after="0" w:line="17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2: Advisory vote on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approved on a non-binding, advisory basis the compensation paid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its named executive officers, as disclosed in the Company's Definitive Proxy Statement on Schedule 14A, filed with the Securities and Exchange Commission on April 25, 2024. The results of the vote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121,165,656</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1,057,012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114,380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1,952,220</w:t>
            </w:r>
          </w:p>
        </w:tc>
      </w:tr>
    </w:tbl>
    <w:p>
      <w:pPr>
        <w:spacing w:after="0" w:line="18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 Approval of employee stock purchase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approved the employee stock purchase plan. The results of the vote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122,222,115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23,346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91,587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1,952,220</w:t>
            </w: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employee stock purchase plan was adopted by the Board to be effective within 12 months following approval by the Company’s stockholders. The employee stock purchase plan is a broad-based plan that provides an opportunity for eligible employees of the Company and its designated affiliates to purchase common stock at a discount from the market price. The employee stock purchase plan is designed to qualify as an “employee stock purchase plan” under Section 423 of the Internal Revenue Code.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to register the shares available under the employee stock purchase plan with the SEC on a registration statement on Form S-8.</w:t>
      </w:r>
    </w:p>
    <w:p>
      <w:pPr>
        <w:spacing w:after="0" w:line="11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4: Ratification of the appointment of Deloitte &amp; Touche LLP as the Company’s independent registered public accounting firm for fiscal year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ending December 31, 2024. The results of the vote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23"/>
        </w:trPr>
        <w:tc>
          <w:tcPr>
            <w:tcW w:w="36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124,204,760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19,340</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65,168</w:t>
            </w:r>
          </w:p>
        </w:tc>
      </w:tr>
      <w:tr>
        <w:trPr>
          <w:trHeight w:val="1330"/>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SURGERY PARTNERS, INC.</w:t>
      </w:r>
    </w:p>
    <w:p>
      <w:pPr>
        <w:spacing w:after="0" w:line="185" w:lineRule="exact"/>
        <w:rPr>
          <w:sz w:val="20"/>
          <w:szCs w:val="20"/>
          <w:color w:val="auto"/>
        </w:rPr>
      </w:pPr>
    </w:p>
    <w:p>
      <w:pPr>
        <w:ind w:left="3260"/>
        <w:spacing w:after="0"/>
        <w:tabs>
          <w:tab w:leader="none" w:pos="3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Jennifer B. Baldock</w:t>
      </w:r>
    </w:p>
    <w:p>
      <w:pPr>
        <w:ind w:left="3760"/>
        <w:spacing w:after="0" w:line="205" w:lineRule="auto"/>
        <w:rPr>
          <w:sz w:val="20"/>
          <w:szCs w:val="20"/>
          <w:color w:val="auto"/>
        </w:rPr>
      </w:pPr>
      <w:r>
        <w:rPr>
          <w:rFonts w:ascii="Times New Roman" w:cs="Times New Roman" w:eastAsia="Times New Roman" w:hAnsi="Times New Roman"/>
          <w:sz w:val="18"/>
          <w:szCs w:val="18"/>
          <w:color w:val="auto"/>
        </w:rPr>
        <w:t>Jennifer B. Baldock</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Executive Vice President, Chief Administrative and Development Officer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2024-06-11T16:15:19Z</dcterms:created>
  <dcterms:modified xsi:type="dcterms:W3CDTF">2024-06-11T16:15:19Z</dcterms:modified>
</cp:coreProperties>
</file>