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063241.xml.htm"/>
      <w:bookmarkStart w:id="1" w:name="kswkform4_17840632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HENDRIX BLAIR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Surgery Partners, Inc.</w:t>
              </w:r>
            </w:hyperlink>
            <w:r>
              <w:rPr/>
              <w:t xml:space="preserve"> [ </w:t>
            </w:r>
            <w:r>
              <w:rPr>
                <w:rFonts w:ascii="Times;serif" w:hAnsi="Times;serif"/>
                <w:color w:val="0000FF"/>
                <w:sz w:val="24"/>
                <w:shd w:fill="FFFFFF" w:val="clear"/>
              </w:rPr>
              <w:t>SGRY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34,364</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14.55</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52,895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awards ("RSAs") granted to the reporting person on June 18, 2026 (the "Grant Date"). The RSAs vest in three equal annual installments beginning on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Blair E. Hendrix</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3121" TargetMode="External"/><Relationship Id="rId5" Type="http://schemas.openxmlformats.org/officeDocument/2006/relationships/hyperlink" Target="http://www.sec.gov/cgi-bin/browse-edgar?action=getcompany&amp;CIK=00016388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3209</Characters>
  <CharactersWithSpaces>3742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