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5, 2026</w:t>
      </w:r>
    </w:p>
    <w:p>
      <w:pPr>
        <w:spacing w:after="0" w:line="1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Surgery Partners, Inc.</w:t>
      </w:r>
    </w:p>
    <w:p>
      <w:pPr>
        <w:spacing w:after="0" w:line="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28" w:lineRule="exact"/>
        <w:rPr>
          <w:sz w:val="24"/>
          <w:szCs w:val="24"/>
          <w:color w:val="auto"/>
        </w:rPr>
      </w:pPr>
    </w:p>
    <w:tbl>
      <w:tblPr>
        <w:tblLayout w:type="fixed"/>
        <w:tblInd w:w="1280" w:type="dxa"/>
        <w:tblCellMar>
          <w:top w:w="0" w:type="dxa"/>
          <w:left w:w="0" w:type="dxa"/>
          <w:bottom w:w="0" w:type="dxa"/>
          <w:right w:w="0" w:type="dxa"/>
        </w:tblCellMar>
      </w:tblPr>
      <w:tr>
        <w:trPr>
          <w:trHeight w:val="238"/>
        </w:trPr>
        <w:tc>
          <w:tcPr>
            <w:tcW w:w="2140" w:type="dxa"/>
            <w:vAlign w:val="bottom"/>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40" w:type="dxa"/>
            <w:vAlign w:val="bottom"/>
          </w:tcPr>
          <w:p>
            <w:pPr>
              <w:jc w:val="right"/>
              <w:ind w:right="1855"/>
              <w:spacing w:after="0"/>
              <w:rPr>
                <w:sz w:val="20"/>
                <w:szCs w:val="20"/>
                <w:color w:val="auto"/>
              </w:rPr>
            </w:pPr>
            <w:r>
              <w:rPr>
                <w:rFonts w:ascii="Times New Roman" w:cs="Times New Roman" w:eastAsia="Times New Roman" w:hAnsi="Times New Roman"/>
                <w:sz w:val="18"/>
                <w:szCs w:val="18"/>
                <w:b w:val="1"/>
                <w:bCs w:val="1"/>
                <w:color w:val="auto"/>
              </w:rPr>
              <w:t>001-37576</w:t>
            </w:r>
          </w:p>
        </w:tc>
        <w:tc>
          <w:tcPr>
            <w:tcW w:w="1740" w:type="dxa"/>
            <w:vAlign w:val="bottom"/>
          </w:tcPr>
          <w:p>
            <w:pPr>
              <w:jc w:val="center"/>
              <w:ind w:left="436"/>
              <w:spacing w:after="0"/>
              <w:rPr>
                <w:sz w:val="20"/>
                <w:szCs w:val="20"/>
                <w:color w:val="auto"/>
              </w:rPr>
            </w:pPr>
            <w:r>
              <w:rPr>
                <w:rFonts w:ascii="Times New Roman" w:cs="Times New Roman" w:eastAsia="Times New Roman" w:hAnsi="Times New Roman"/>
                <w:sz w:val="18"/>
                <w:szCs w:val="18"/>
                <w:b w:val="1"/>
                <w:bCs w:val="1"/>
                <w:color w:val="auto"/>
                <w:w w:val="98"/>
              </w:rPr>
              <w:t>47-3620923</w:t>
            </w:r>
          </w:p>
        </w:tc>
      </w:tr>
      <w:tr>
        <w:trPr>
          <w:trHeight w:val="162"/>
        </w:trPr>
        <w:tc>
          <w:tcPr>
            <w:tcW w:w="2140" w:type="dxa"/>
            <w:vAlign w:val="bottom"/>
          </w:tcPr>
          <w:p>
            <w:pPr>
              <w:jc w:val="center"/>
              <w:ind w:right="296"/>
              <w:spacing w:after="0" w:line="162" w:lineRule="exact"/>
              <w:rPr>
                <w:sz w:val="20"/>
                <w:szCs w:val="20"/>
                <w:color w:val="auto"/>
              </w:rPr>
            </w:pPr>
            <w:r>
              <w:rPr>
                <w:rFonts w:ascii="Times New Roman" w:cs="Times New Roman" w:eastAsia="Times New Roman" w:hAnsi="Times New Roman"/>
                <w:sz w:val="16"/>
                <w:szCs w:val="16"/>
                <w:color w:val="auto"/>
              </w:rPr>
              <w:t>(State or Other Jurisdiction</w:t>
            </w:r>
          </w:p>
        </w:tc>
        <w:tc>
          <w:tcPr>
            <w:tcW w:w="454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color w:val="auto"/>
              </w:rPr>
              <w:t>(Commission</w:t>
            </w:r>
          </w:p>
        </w:tc>
        <w:tc>
          <w:tcPr>
            <w:tcW w:w="1740" w:type="dxa"/>
            <w:vAlign w:val="bottom"/>
          </w:tcPr>
          <w:p>
            <w:pPr>
              <w:jc w:val="center"/>
              <w:ind w:left="436"/>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140" w:type="dxa"/>
            <w:vAlign w:val="bottom"/>
          </w:tcPr>
          <w:p>
            <w:pPr>
              <w:jc w:val="center"/>
              <w:ind w:right="296"/>
              <w:spacing w:after="0"/>
              <w:rPr>
                <w:sz w:val="20"/>
                <w:szCs w:val="20"/>
                <w:color w:val="auto"/>
              </w:rPr>
            </w:pPr>
            <w:r>
              <w:rPr>
                <w:rFonts w:ascii="Times New Roman" w:cs="Times New Roman" w:eastAsia="Times New Roman" w:hAnsi="Times New Roman"/>
                <w:sz w:val="16"/>
                <w:szCs w:val="16"/>
                <w:color w:val="auto"/>
              </w:rPr>
              <w:t>of Incorporation)</w:t>
            </w:r>
          </w:p>
        </w:tc>
        <w:tc>
          <w:tcPr>
            <w:tcW w:w="454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File Number)</w:t>
            </w:r>
          </w:p>
        </w:tc>
        <w:tc>
          <w:tcPr>
            <w:tcW w:w="1740" w:type="dxa"/>
            <w:vAlign w:val="bottom"/>
          </w:tcPr>
          <w:p>
            <w:pPr>
              <w:jc w:val="center"/>
              <w:ind w:left="456"/>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88"/>
        </w:trPr>
        <w:tc>
          <w:tcPr>
            <w:tcW w:w="2140" w:type="dxa"/>
            <w:vAlign w:val="bottom"/>
          </w:tcPr>
          <w:p>
            <w:pPr>
              <w:spacing w:after="0"/>
              <w:rPr>
                <w:sz w:val="24"/>
                <w:szCs w:val="24"/>
                <w:color w:val="auto"/>
              </w:rPr>
            </w:pPr>
          </w:p>
        </w:tc>
        <w:tc>
          <w:tcPr>
            <w:tcW w:w="454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340 Seven Springs Way, Suite 600</w:t>
            </w:r>
          </w:p>
        </w:tc>
        <w:tc>
          <w:tcPr>
            <w:tcW w:w="1740" w:type="dxa"/>
            <w:vAlign w:val="bottom"/>
          </w:tcPr>
          <w:p>
            <w:pPr>
              <w:spacing w:after="0"/>
              <w:rPr>
                <w:sz w:val="24"/>
                <w:szCs w:val="24"/>
                <w:color w:val="auto"/>
              </w:rPr>
            </w:pPr>
          </w:p>
        </w:tc>
      </w:tr>
      <w:tr>
        <w:trPr>
          <w:trHeight w:val="224"/>
        </w:trPr>
        <w:tc>
          <w:tcPr>
            <w:tcW w:w="2140" w:type="dxa"/>
            <w:vAlign w:val="bottom"/>
          </w:tcPr>
          <w:p>
            <w:pPr>
              <w:spacing w:after="0"/>
              <w:rPr>
                <w:sz w:val="19"/>
                <w:szCs w:val="19"/>
                <w:color w:val="auto"/>
              </w:rPr>
            </w:pPr>
          </w:p>
        </w:tc>
        <w:tc>
          <w:tcPr>
            <w:tcW w:w="454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Brentwood, Tennessee 37027</w:t>
            </w:r>
          </w:p>
        </w:tc>
        <w:tc>
          <w:tcPr>
            <w:tcW w:w="1740" w:type="dxa"/>
            <w:vAlign w:val="bottom"/>
          </w:tcPr>
          <w:p>
            <w:pPr>
              <w:spacing w:after="0"/>
              <w:rPr>
                <w:sz w:val="19"/>
                <w:szCs w:val="19"/>
                <w:color w:val="auto"/>
              </w:rPr>
            </w:pPr>
          </w:p>
        </w:tc>
      </w:tr>
      <w:tr>
        <w:trPr>
          <w:trHeight w:val="210"/>
        </w:trPr>
        <w:tc>
          <w:tcPr>
            <w:tcW w:w="2140" w:type="dxa"/>
            <w:vAlign w:val="bottom"/>
          </w:tcPr>
          <w:p>
            <w:pPr>
              <w:spacing w:after="0"/>
              <w:rPr>
                <w:sz w:val="18"/>
                <w:szCs w:val="18"/>
                <w:color w:val="auto"/>
              </w:rPr>
            </w:pPr>
          </w:p>
        </w:tc>
        <w:tc>
          <w:tcPr>
            <w:tcW w:w="454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40" w:type="dxa"/>
            <w:vAlign w:val="bottom"/>
          </w:tcPr>
          <w:p>
            <w:pPr>
              <w:spacing w:after="0"/>
              <w:rPr>
                <w:sz w:val="18"/>
                <w:szCs w:val="18"/>
                <w:color w:val="auto"/>
              </w:rPr>
            </w:pPr>
          </w:p>
        </w:tc>
      </w:tr>
      <w:tr>
        <w:trPr>
          <w:trHeight w:val="316"/>
        </w:trPr>
        <w:tc>
          <w:tcPr>
            <w:tcW w:w="2140" w:type="dxa"/>
            <w:vAlign w:val="bottom"/>
          </w:tcPr>
          <w:p>
            <w:pPr>
              <w:spacing w:after="0"/>
              <w:rPr>
                <w:sz w:val="24"/>
                <w:szCs w:val="24"/>
                <w:color w:val="auto"/>
              </w:rPr>
            </w:pPr>
          </w:p>
        </w:tc>
        <w:tc>
          <w:tcPr>
            <w:tcW w:w="4540" w:type="dxa"/>
            <w:vAlign w:val="bottom"/>
          </w:tcPr>
          <w:p>
            <w:pPr>
              <w:jc w:val="right"/>
              <w:ind w:right="1695"/>
              <w:spacing w:after="0"/>
              <w:rPr>
                <w:sz w:val="20"/>
                <w:szCs w:val="20"/>
                <w:color w:val="auto"/>
              </w:rPr>
            </w:pPr>
            <w:r>
              <w:rPr>
                <w:rFonts w:ascii="Times New Roman" w:cs="Times New Roman" w:eastAsia="Times New Roman" w:hAnsi="Times New Roman"/>
                <w:sz w:val="18"/>
                <w:szCs w:val="18"/>
                <w:b w:val="1"/>
                <w:bCs w:val="1"/>
                <w:color w:val="auto"/>
              </w:rPr>
              <w:t>(615) 234-5900</w:t>
            </w:r>
          </w:p>
        </w:tc>
        <w:tc>
          <w:tcPr>
            <w:tcW w:w="1740" w:type="dxa"/>
            <w:vAlign w:val="bottom"/>
          </w:tcPr>
          <w:p>
            <w:pPr>
              <w:spacing w:after="0"/>
              <w:rPr>
                <w:sz w:val="24"/>
                <w:szCs w:val="24"/>
                <w:color w:val="auto"/>
              </w:rPr>
            </w:pPr>
          </w:p>
        </w:tc>
      </w:tr>
      <w:tr>
        <w:trPr>
          <w:trHeight w:val="210"/>
        </w:trPr>
        <w:tc>
          <w:tcPr>
            <w:tcW w:w="2140" w:type="dxa"/>
            <w:vAlign w:val="bottom"/>
          </w:tcPr>
          <w:p>
            <w:pPr>
              <w:spacing w:after="0"/>
              <w:rPr>
                <w:sz w:val="18"/>
                <w:szCs w:val="18"/>
                <w:color w:val="auto"/>
              </w:rPr>
            </w:pPr>
          </w:p>
        </w:tc>
        <w:tc>
          <w:tcPr>
            <w:tcW w:w="454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740" w:type="dxa"/>
            <w:vAlign w:val="bottom"/>
          </w:tcPr>
          <w:p>
            <w:pPr>
              <w:spacing w:after="0"/>
              <w:rPr>
                <w:sz w:val="18"/>
                <w:szCs w:val="18"/>
                <w:color w:val="auto"/>
              </w:rPr>
            </w:pPr>
          </w:p>
        </w:tc>
      </w:tr>
    </w:tbl>
    <w:p>
      <w:pPr>
        <w:spacing w:after="0" w:line="330"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67"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67"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right="3540" w:firstLine="8"/>
        <w:spacing w:after="0" w:line="474" w:lineRule="auto"/>
        <w:tabs>
          <w:tab w:leader="none" w:pos="31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32" w:lineRule="exact"/>
        <w:rPr>
          <w:sz w:val="24"/>
          <w:szCs w:val="24"/>
          <w:color w:val="auto"/>
        </w:rPr>
      </w:pPr>
    </w:p>
    <w:tbl>
      <w:tblPr>
        <w:tblLayout w:type="fixed"/>
        <w:tblInd w:w="340" w:type="dxa"/>
        <w:tblCellMar>
          <w:top w:w="0" w:type="dxa"/>
          <w:left w:w="0" w:type="dxa"/>
          <w:bottom w:w="0" w:type="dxa"/>
          <w:right w:w="0" w:type="dxa"/>
        </w:tblCellMar>
      </w:tblPr>
      <w:tr>
        <w:trPr>
          <w:trHeight w:val="190"/>
        </w:trPr>
        <w:tc>
          <w:tcPr>
            <w:tcW w:w="43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04"/>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74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SGRY</w:t>
            </w:r>
          </w:p>
        </w:tc>
        <w:tc>
          <w:tcPr>
            <w:tcW w:w="720" w:type="dxa"/>
            <w:vAlign w:val="bottom"/>
          </w:tcPr>
          <w:p>
            <w:pPr>
              <w:spacing w:after="0"/>
              <w:rPr>
                <w:sz w:val="17"/>
                <w:szCs w:val="17"/>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23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4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44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45"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5, 2026, the Company held its Annual Meeting. As of the close of business on April 8, 2026, the record date for the Annual Meeting (the “Record Date”), 130,798,102 shares of the Company’s common stock were outstanding and entitled to vote.</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matters voted on at the Annual Meeting and the final results of such voting were as follows:</w:t>
      </w:r>
    </w:p>
    <w:p>
      <w:pPr>
        <w:spacing w:after="0" w:line="11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1: Election of Class II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elected each of the director nominees to serve as a Class II director until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2029 annual meeting of stockholders and until each such successor has been elected and qualified. Each of the nominees was a current Class II director of the Company who was re-elected. The results of the vote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63"/>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Devin O'Reilly</w:t>
            </w:r>
          </w:p>
        </w:tc>
        <w:tc>
          <w:tcPr>
            <w:tcW w:w="80" w:type="dxa"/>
            <w:vAlign w:val="bottom"/>
            <w:tcBorders>
              <w:top w:val="single" w:sz="8" w:color="CCEEFF"/>
            </w:tcBorders>
            <w:shd w:val="clear" w:color="auto" w:fill="CCEEFF"/>
          </w:tcPr>
          <w:p>
            <w:pPr>
              <w:spacing w:after="0"/>
              <w:rPr>
                <w:sz w:val="22"/>
                <w:szCs w:val="22"/>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90,059,419</w:t>
            </w:r>
          </w:p>
        </w:tc>
        <w:tc>
          <w:tcPr>
            <w:tcW w:w="100" w:type="dxa"/>
            <w:vAlign w:val="bottom"/>
            <w:tcBorders>
              <w:top w:val="single" w:sz="8" w:color="CCEEFF"/>
            </w:tcBorders>
            <w:shd w:val="clear" w:color="auto" w:fill="CCEEFF"/>
          </w:tcPr>
          <w:p>
            <w:pPr>
              <w:spacing w:after="0"/>
              <w:rPr>
                <w:sz w:val="22"/>
                <w:szCs w:val="22"/>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23,613,725</w:t>
            </w:r>
          </w:p>
        </w:tc>
        <w:tc>
          <w:tcPr>
            <w:tcW w:w="100" w:type="dxa"/>
            <w:vAlign w:val="bottom"/>
            <w:tcBorders>
              <w:top w:val="single" w:sz="8" w:color="CCEEFF"/>
            </w:tcBorders>
            <w:shd w:val="clear" w:color="auto" w:fill="CCEEFF"/>
          </w:tcPr>
          <w:p>
            <w:pPr>
              <w:spacing w:after="0"/>
              <w:rPr>
                <w:sz w:val="22"/>
                <w:szCs w:val="22"/>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6,243,195</w:t>
            </w:r>
          </w:p>
        </w:tc>
      </w:tr>
      <w:tr>
        <w:trPr>
          <w:trHeight w:val="27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Brent Turner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110,147,882</w:t>
            </w:r>
          </w:p>
        </w:tc>
        <w:tc>
          <w:tcPr>
            <w:tcW w:w="100" w:type="dxa"/>
            <w:vAlign w:val="bottom"/>
          </w:tcPr>
          <w:p>
            <w:pPr>
              <w:spacing w:after="0"/>
              <w:rPr>
                <w:sz w:val="23"/>
                <w:szCs w:val="2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3,525,262</w:t>
            </w:r>
          </w:p>
        </w:tc>
        <w:tc>
          <w:tcPr>
            <w:tcW w:w="100" w:type="dxa"/>
            <w:vAlign w:val="bottom"/>
          </w:tcPr>
          <w:p>
            <w:pPr>
              <w:spacing w:after="0"/>
              <w:rPr>
                <w:sz w:val="23"/>
                <w:szCs w:val="2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6,243,195</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Laura L. Forese, M.D.</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91,121,777</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22,551,367</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6,243,195</w:t>
            </w:r>
          </w:p>
        </w:tc>
      </w:tr>
    </w:tbl>
    <w:p>
      <w:pPr>
        <w:spacing w:after="0" w:line="28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2: Advisory vote on executive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approved on a non-binding, advisory basis the compensation paid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its named executive officers, as disclosed in the Company's Definitive Proxy Statement on Schedule 14A, filed with the Securities and Exchange Commission on April 23, 2026. The results of the vote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111,639,092</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2,018,777</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15,275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6,243,195</w:t>
            </w:r>
          </w:p>
        </w:tc>
      </w:tr>
    </w:tbl>
    <w:p>
      <w:pPr>
        <w:spacing w:after="0" w:line="27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3: Ratification of the appointment of Ernst &amp; Young LLP as the Company’s independent registered public accounting firm for fiscal year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ratified the appointment of Ernst &amp; Young LLP as the Company’s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 The results of the vote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23"/>
        </w:trPr>
        <w:tc>
          <w:tcPr>
            <w:tcW w:w="368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119,828,741</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62,950</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24,648</w:t>
            </w:r>
          </w:p>
        </w:tc>
      </w:tr>
      <w:tr>
        <w:trPr>
          <w:trHeight w:val="1195"/>
        </w:trPr>
        <w:tc>
          <w:tcPr>
            <w:tcW w:w="3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SURGERY PARTNERS, INC.</w:t>
      </w:r>
    </w:p>
    <w:p>
      <w:pPr>
        <w:spacing w:after="0" w:line="131" w:lineRule="exact"/>
        <w:rPr>
          <w:sz w:val="20"/>
          <w:szCs w:val="20"/>
          <w:color w:val="auto"/>
        </w:rPr>
      </w:pPr>
    </w:p>
    <w:p>
      <w:pPr>
        <w:ind w:left="1240"/>
        <w:spacing w:after="0"/>
        <w:tabs>
          <w:tab w:leader="none" w:pos="1760" w:val="left"/>
          <w:tab w:leader="none" w:pos="4180" w:val="left"/>
          <w:tab w:leader="none" w:pos="4680" w:val="left"/>
        </w:tabs>
        <w:rPr>
          <w:sz w:val="20"/>
          <w:szCs w:val="20"/>
          <w:color w:val="auto"/>
        </w:rPr>
      </w:pPr>
      <w:r>
        <w:rPr>
          <w:rFonts w:ascii="Times New Roman" w:cs="Times New Roman" w:eastAsia="Times New Roman" w:hAnsi="Times New Roman"/>
          <w:sz w:val="35"/>
          <w:szCs w:val="35"/>
          <w:color w:val="auto"/>
          <w:vertAlign w:val="superscript"/>
        </w:rPr>
        <w:t>Date:</w:t>
      </w:r>
      <w:r>
        <w:rPr>
          <w:rFonts w:ascii="Times New Roman" w:cs="Times New Roman" w:eastAsia="Times New Roman" w:hAnsi="Times New Roman"/>
          <w:sz w:val="18"/>
          <w:szCs w:val="18"/>
          <w:color w:val="auto"/>
        </w:rPr>
        <w:tab/>
        <w:t>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Jennifer B. Baldock</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Jennifer B. Baldock</w:t>
      </w:r>
    </w:p>
    <w:p>
      <w:pPr>
        <w:spacing w:after="0" w:line="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i w:val="1"/>
          <w:iCs w:val="1"/>
          <w:color w:val="auto"/>
        </w:rPr>
        <w:t>Executive Vice President, Chief Administrative and Development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2026-06-05T16:00:22Z</dcterms:created>
  <dcterms:modified xsi:type="dcterms:W3CDTF">2026-06-05T16:00:22Z</dcterms:modified>
</cp:coreProperties>
</file>