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460375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33"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3"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9"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73"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5, 2026</w:t>
      </w:r>
    </w:p>
    <w:p>
      <w:pPr>
        <w:spacing w:after="0" w:line="116"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22"/>
          <w:szCs w:val="22"/>
          <w:b w:val="1"/>
          <w:bCs w:val="1"/>
          <w:color w:val="auto"/>
        </w:rPr>
        <w:t>Surgery Partners, Inc.</w:t>
      </w:r>
    </w:p>
    <w:p>
      <w:pPr>
        <w:spacing w:after="0" w:line="32" w:lineRule="exact"/>
        <w:rPr>
          <w:sz w:val="24"/>
          <w:szCs w:val="24"/>
          <w:color w:val="auto"/>
        </w:rPr>
      </w:pPr>
    </w:p>
    <w:p>
      <w:pPr>
        <w:jc w:val="center"/>
        <w:ind w:right="-267"/>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pacing w:after="0" w:line="152" w:lineRule="exact"/>
        <w:rPr>
          <w:sz w:val="24"/>
          <w:szCs w:val="24"/>
          <w:color w:val="auto"/>
        </w:rPr>
      </w:pPr>
    </w:p>
    <w:tbl>
      <w:tblPr>
        <w:tblLayout w:type="fixed"/>
        <w:tblInd w:w="1588" w:type="dxa"/>
        <w:tblCellMar>
          <w:top w:w="0" w:type="dxa"/>
          <w:left w:w="0" w:type="dxa"/>
          <w:bottom w:w="0" w:type="dxa"/>
          <w:right w:w="0" w:type="dxa"/>
        </w:tblCellMar>
      </w:tblPr>
      <w:tr>
        <w:trPr>
          <w:trHeight w:val="159"/>
        </w:trPr>
        <w:tc>
          <w:tcPr>
            <w:tcW w:w="2020" w:type="dxa"/>
            <w:vAlign w:val="bottom"/>
          </w:tcPr>
          <w:p>
            <w:pPr>
              <w:jc w:val="center"/>
              <w:ind w:right="804"/>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18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9"/>
              </w:rPr>
              <w:t>001-37576</w:t>
            </w:r>
          </w:p>
        </w:tc>
        <w:tc>
          <w:tcPr>
            <w:tcW w:w="1760" w:type="dxa"/>
            <w:vAlign w:val="bottom"/>
          </w:tcPr>
          <w:p>
            <w:pPr>
              <w:jc w:val="center"/>
              <w:ind w:left="884"/>
              <w:spacing w:after="0"/>
              <w:rPr>
                <w:sz w:val="20"/>
                <w:szCs w:val="20"/>
                <w:color w:val="auto"/>
              </w:rPr>
            </w:pPr>
            <w:r>
              <w:rPr>
                <w:rFonts w:ascii="Times New Roman" w:cs="Times New Roman" w:eastAsia="Times New Roman" w:hAnsi="Times New Roman"/>
                <w:sz w:val="12"/>
                <w:szCs w:val="12"/>
                <w:b w:val="1"/>
                <w:bCs w:val="1"/>
                <w:color w:val="auto"/>
                <w:w w:val="99"/>
              </w:rPr>
              <w:t>47-3620923</w:t>
            </w:r>
          </w:p>
        </w:tc>
      </w:tr>
      <w:tr>
        <w:trPr>
          <w:trHeight w:val="108"/>
        </w:trPr>
        <w:tc>
          <w:tcPr>
            <w:tcW w:w="2020" w:type="dxa"/>
            <w:vAlign w:val="bottom"/>
          </w:tcPr>
          <w:p>
            <w:pPr>
              <w:jc w:val="center"/>
              <w:ind w:right="804"/>
              <w:spacing w:after="0" w:line="109" w:lineRule="exact"/>
              <w:rPr>
                <w:sz w:val="20"/>
                <w:szCs w:val="20"/>
                <w:color w:val="auto"/>
              </w:rPr>
            </w:pPr>
            <w:r>
              <w:rPr>
                <w:rFonts w:ascii="Times New Roman" w:cs="Times New Roman" w:eastAsia="Times New Roman" w:hAnsi="Times New Roman"/>
                <w:sz w:val="11"/>
                <w:szCs w:val="11"/>
                <w:color w:val="auto"/>
                <w:w w:val="97"/>
              </w:rPr>
              <w:t>(State or Other Jurisdiction</w:t>
            </w:r>
          </w:p>
        </w:tc>
        <w:tc>
          <w:tcPr>
            <w:tcW w:w="4180" w:type="dxa"/>
            <w:vAlign w:val="bottom"/>
          </w:tcPr>
          <w:p>
            <w:pPr>
              <w:jc w:val="center"/>
              <w:ind w:right="23"/>
              <w:spacing w:after="0" w:line="109" w:lineRule="exact"/>
              <w:rPr>
                <w:sz w:val="20"/>
                <w:szCs w:val="20"/>
                <w:color w:val="auto"/>
              </w:rPr>
            </w:pPr>
            <w:r>
              <w:rPr>
                <w:rFonts w:ascii="Times New Roman" w:cs="Times New Roman" w:eastAsia="Times New Roman" w:hAnsi="Times New Roman"/>
                <w:sz w:val="11"/>
                <w:szCs w:val="11"/>
                <w:color w:val="auto"/>
                <w:w w:val="97"/>
              </w:rPr>
              <w:t>(Commission</w:t>
            </w:r>
          </w:p>
        </w:tc>
        <w:tc>
          <w:tcPr>
            <w:tcW w:w="1760" w:type="dxa"/>
            <w:vAlign w:val="bottom"/>
          </w:tcPr>
          <w:p>
            <w:pPr>
              <w:jc w:val="center"/>
              <w:ind w:left="884"/>
              <w:spacing w:after="0" w:line="109" w:lineRule="exact"/>
              <w:rPr>
                <w:sz w:val="20"/>
                <w:szCs w:val="20"/>
                <w:color w:val="auto"/>
              </w:rPr>
            </w:pPr>
            <w:r>
              <w:rPr>
                <w:rFonts w:ascii="Times New Roman" w:cs="Times New Roman" w:eastAsia="Times New Roman" w:hAnsi="Times New Roman"/>
                <w:sz w:val="11"/>
                <w:szCs w:val="11"/>
                <w:color w:val="auto"/>
                <w:w w:val="98"/>
              </w:rPr>
              <w:t>(IRS Employer</w:t>
            </w:r>
          </w:p>
        </w:tc>
      </w:tr>
      <w:tr>
        <w:trPr>
          <w:trHeight w:val="140"/>
        </w:trPr>
        <w:tc>
          <w:tcPr>
            <w:tcW w:w="2020" w:type="dxa"/>
            <w:vAlign w:val="bottom"/>
          </w:tcPr>
          <w:p>
            <w:pPr>
              <w:jc w:val="center"/>
              <w:ind w:right="824"/>
              <w:spacing w:after="0"/>
              <w:rPr>
                <w:sz w:val="20"/>
                <w:szCs w:val="20"/>
                <w:color w:val="auto"/>
              </w:rPr>
            </w:pPr>
            <w:r>
              <w:rPr>
                <w:rFonts w:ascii="Times New Roman" w:cs="Times New Roman" w:eastAsia="Times New Roman" w:hAnsi="Times New Roman"/>
                <w:sz w:val="11"/>
                <w:szCs w:val="11"/>
                <w:color w:val="auto"/>
                <w:w w:val="98"/>
              </w:rPr>
              <w:t>of Incorporation)</w:t>
            </w:r>
          </w:p>
        </w:tc>
        <w:tc>
          <w:tcPr>
            <w:tcW w:w="41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w w:val="97"/>
              </w:rPr>
              <w:t>File Number)</w:t>
            </w:r>
          </w:p>
        </w:tc>
        <w:tc>
          <w:tcPr>
            <w:tcW w:w="1760" w:type="dxa"/>
            <w:vAlign w:val="bottom"/>
          </w:tcPr>
          <w:p>
            <w:pPr>
              <w:jc w:val="center"/>
              <w:ind w:left="904"/>
              <w:spacing w:after="0"/>
              <w:rPr>
                <w:sz w:val="20"/>
                <w:szCs w:val="20"/>
                <w:color w:val="auto"/>
              </w:rPr>
            </w:pPr>
            <w:r>
              <w:rPr>
                <w:rFonts w:ascii="Times New Roman" w:cs="Times New Roman" w:eastAsia="Times New Roman" w:hAnsi="Times New Roman"/>
                <w:sz w:val="11"/>
                <w:szCs w:val="11"/>
                <w:color w:val="auto"/>
                <w:w w:val="97"/>
              </w:rPr>
              <w:t>Identification No.)</w:t>
            </w:r>
          </w:p>
        </w:tc>
      </w:tr>
      <w:tr>
        <w:trPr>
          <w:trHeight w:val="259"/>
        </w:trPr>
        <w:tc>
          <w:tcPr>
            <w:tcW w:w="2020" w:type="dxa"/>
            <w:vAlign w:val="bottom"/>
          </w:tcPr>
          <w:p>
            <w:pPr>
              <w:spacing w:after="0"/>
              <w:rPr>
                <w:sz w:val="22"/>
                <w:szCs w:val="22"/>
                <w:color w:val="auto"/>
              </w:rPr>
            </w:pPr>
          </w:p>
        </w:tc>
        <w:tc>
          <w:tcPr>
            <w:tcW w:w="418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w w:val="99"/>
              </w:rPr>
              <w:t>340 Seven Springs Way, Suite 600</w:t>
            </w:r>
          </w:p>
        </w:tc>
        <w:tc>
          <w:tcPr>
            <w:tcW w:w="1760" w:type="dxa"/>
            <w:vAlign w:val="bottom"/>
          </w:tcPr>
          <w:p>
            <w:pPr>
              <w:spacing w:after="0"/>
              <w:rPr>
                <w:sz w:val="22"/>
                <w:szCs w:val="22"/>
                <w:color w:val="auto"/>
              </w:rPr>
            </w:pPr>
          </w:p>
        </w:tc>
      </w:tr>
      <w:tr>
        <w:trPr>
          <w:trHeight w:val="150"/>
        </w:trPr>
        <w:tc>
          <w:tcPr>
            <w:tcW w:w="2020" w:type="dxa"/>
            <w:vAlign w:val="bottom"/>
          </w:tcPr>
          <w:p>
            <w:pPr>
              <w:spacing w:after="0"/>
              <w:rPr>
                <w:sz w:val="13"/>
                <w:szCs w:val="13"/>
                <w:color w:val="auto"/>
              </w:rPr>
            </w:pPr>
          </w:p>
        </w:tc>
        <w:tc>
          <w:tcPr>
            <w:tcW w:w="4180" w:type="dxa"/>
            <w:vAlign w:val="bottom"/>
          </w:tcPr>
          <w:p>
            <w:pPr>
              <w:jc w:val="center"/>
              <w:ind w:right="23"/>
              <w:spacing w:after="0"/>
              <w:rPr>
                <w:sz w:val="20"/>
                <w:szCs w:val="20"/>
                <w:color w:val="auto"/>
              </w:rPr>
            </w:pPr>
            <w:r>
              <w:rPr>
                <w:rFonts w:ascii="Times New Roman" w:cs="Times New Roman" w:eastAsia="Times New Roman" w:hAnsi="Times New Roman"/>
                <w:sz w:val="12"/>
                <w:szCs w:val="12"/>
                <w:b w:val="1"/>
                <w:bCs w:val="1"/>
                <w:color w:val="auto"/>
                <w:w w:val="98"/>
              </w:rPr>
              <w:t>Brentwood, Tennessee 37027</w:t>
            </w:r>
          </w:p>
        </w:tc>
        <w:tc>
          <w:tcPr>
            <w:tcW w:w="1760" w:type="dxa"/>
            <w:vAlign w:val="bottom"/>
          </w:tcPr>
          <w:p>
            <w:pPr>
              <w:spacing w:after="0"/>
              <w:rPr>
                <w:sz w:val="13"/>
                <w:szCs w:val="13"/>
                <w:color w:val="auto"/>
              </w:rPr>
            </w:pPr>
          </w:p>
        </w:tc>
      </w:tr>
      <w:tr>
        <w:trPr>
          <w:trHeight w:val="140"/>
        </w:trPr>
        <w:tc>
          <w:tcPr>
            <w:tcW w:w="2020" w:type="dxa"/>
            <w:vAlign w:val="bottom"/>
          </w:tcPr>
          <w:p>
            <w:pPr>
              <w:spacing w:after="0"/>
              <w:rPr>
                <w:sz w:val="12"/>
                <w:szCs w:val="12"/>
                <w:color w:val="auto"/>
              </w:rPr>
            </w:pPr>
          </w:p>
        </w:tc>
        <w:tc>
          <w:tcPr>
            <w:tcW w:w="418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w w:val="97"/>
              </w:rPr>
              <w:t>(Address of Principal Executive Offices) (Zip Code)</w:t>
            </w:r>
          </w:p>
        </w:tc>
        <w:tc>
          <w:tcPr>
            <w:tcW w:w="1760" w:type="dxa"/>
            <w:vAlign w:val="bottom"/>
          </w:tcPr>
          <w:p>
            <w:pPr>
              <w:spacing w:after="0"/>
              <w:rPr>
                <w:sz w:val="12"/>
                <w:szCs w:val="12"/>
                <w:color w:val="auto"/>
              </w:rPr>
            </w:pPr>
          </w:p>
        </w:tc>
      </w:tr>
      <w:tr>
        <w:trPr>
          <w:trHeight w:val="211"/>
        </w:trPr>
        <w:tc>
          <w:tcPr>
            <w:tcW w:w="2020" w:type="dxa"/>
            <w:vAlign w:val="bottom"/>
          </w:tcPr>
          <w:p>
            <w:pPr>
              <w:spacing w:after="0"/>
              <w:rPr>
                <w:sz w:val="18"/>
                <w:szCs w:val="18"/>
                <w:color w:val="auto"/>
              </w:rPr>
            </w:pPr>
          </w:p>
        </w:tc>
        <w:tc>
          <w:tcPr>
            <w:tcW w:w="4180" w:type="dxa"/>
            <w:vAlign w:val="bottom"/>
          </w:tcPr>
          <w:p>
            <w:pPr>
              <w:jc w:val="center"/>
              <w:ind w:right="43"/>
              <w:spacing w:after="0"/>
              <w:rPr>
                <w:sz w:val="20"/>
                <w:szCs w:val="20"/>
                <w:color w:val="auto"/>
              </w:rPr>
            </w:pPr>
            <w:r>
              <w:rPr>
                <w:rFonts w:ascii="Times New Roman" w:cs="Times New Roman" w:eastAsia="Times New Roman" w:hAnsi="Times New Roman"/>
                <w:sz w:val="12"/>
                <w:szCs w:val="12"/>
                <w:b w:val="1"/>
                <w:bCs w:val="1"/>
                <w:color w:val="auto"/>
              </w:rPr>
              <w:t>(615) 234-5900</w:t>
            </w:r>
          </w:p>
        </w:tc>
        <w:tc>
          <w:tcPr>
            <w:tcW w:w="1760" w:type="dxa"/>
            <w:vAlign w:val="bottom"/>
          </w:tcPr>
          <w:p>
            <w:pPr>
              <w:spacing w:after="0"/>
              <w:rPr>
                <w:sz w:val="18"/>
                <w:szCs w:val="18"/>
                <w:color w:val="auto"/>
              </w:rPr>
            </w:pPr>
          </w:p>
        </w:tc>
      </w:tr>
      <w:tr>
        <w:trPr>
          <w:trHeight w:val="140"/>
        </w:trPr>
        <w:tc>
          <w:tcPr>
            <w:tcW w:w="2020" w:type="dxa"/>
            <w:vAlign w:val="bottom"/>
          </w:tcPr>
          <w:p>
            <w:pPr>
              <w:spacing w:after="0"/>
              <w:rPr>
                <w:sz w:val="12"/>
                <w:szCs w:val="12"/>
                <w:color w:val="auto"/>
              </w:rPr>
            </w:pPr>
          </w:p>
        </w:tc>
        <w:tc>
          <w:tcPr>
            <w:tcW w:w="418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w:t>
            </w:r>
          </w:p>
        </w:tc>
        <w:tc>
          <w:tcPr>
            <w:tcW w:w="1760" w:type="dxa"/>
            <w:vAlign w:val="bottom"/>
          </w:tcPr>
          <w:p>
            <w:pPr>
              <w:spacing w:after="0"/>
              <w:rPr>
                <w:sz w:val="12"/>
                <w:szCs w:val="12"/>
                <w:color w:val="auto"/>
              </w:rPr>
            </w:pPr>
          </w:p>
        </w:tc>
      </w:tr>
    </w:tbl>
    <w:p>
      <w:pPr>
        <w:spacing w:after="0" w:line="220" w:lineRule="exact"/>
        <w:rPr>
          <w:sz w:val="24"/>
          <w:szCs w:val="24"/>
          <w:color w:val="auto"/>
        </w:rPr>
      </w:pPr>
    </w:p>
    <w:p>
      <w:pPr>
        <w:ind w:left="2008"/>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17"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98" w:lineRule="exact"/>
        <w:rPr>
          <w:rFonts w:ascii="MS PGothic" w:cs="MS PGothic" w:eastAsia="MS PGothic" w:hAnsi="MS PGothic"/>
          <w:sz w:val="11"/>
          <w:szCs w:val="11"/>
          <w:color w:val="auto"/>
        </w:rPr>
      </w:pPr>
    </w:p>
    <w:p>
      <w:pPr>
        <w:ind w:left="208" w:hanging="208"/>
        <w:spacing w:after="0"/>
        <w:tabs>
          <w:tab w:leader="none" w:pos="208"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98" w:lineRule="exact"/>
        <w:rPr>
          <w:rFonts w:ascii="MS PGothic" w:cs="MS PGothic" w:eastAsia="MS PGothic" w:hAnsi="MS PGothic"/>
          <w:sz w:val="11"/>
          <w:szCs w:val="11"/>
          <w:color w:val="auto"/>
        </w:rPr>
      </w:pPr>
    </w:p>
    <w:p>
      <w:pPr>
        <w:ind w:left="208" w:hanging="208"/>
        <w:spacing w:after="0"/>
        <w:tabs>
          <w:tab w:leader="none" w:pos="208"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8" w:right="6000" w:hanging="8"/>
        <w:spacing w:after="0" w:line="452" w:lineRule="auto"/>
        <w:tabs>
          <w:tab w:leader="none" w:pos="215"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 Securities registered pursuant to Section 12(b) of the Act:</w:t>
      </w:r>
    </w:p>
    <w:p>
      <w:pPr>
        <w:spacing w:after="0" w:line="29" w:lineRule="exact"/>
        <w:rPr>
          <w:sz w:val="24"/>
          <w:szCs w:val="24"/>
          <w:color w:val="auto"/>
        </w:rPr>
      </w:pPr>
    </w:p>
    <w:tbl>
      <w:tblPr>
        <w:tblLayout w:type="fixed"/>
        <w:tblInd w:w="308" w:type="dxa"/>
        <w:tblCellMar>
          <w:top w:w="0" w:type="dxa"/>
          <w:left w:w="0" w:type="dxa"/>
          <w:bottom w:w="0" w:type="dxa"/>
          <w:right w:w="0" w:type="dxa"/>
        </w:tblCellMar>
      </w:tblPr>
      <w:tr>
        <w:trPr>
          <w:trHeight w:val="134"/>
        </w:trPr>
        <w:tc>
          <w:tcPr>
            <w:tcW w:w="4400" w:type="dxa"/>
            <w:vAlign w:val="bottom"/>
            <w:gridSpan w:val="2"/>
          </w:tcPr>
          <w:p>
            <w:pPr>
              <w:jc w:val="center"/>
              <w:ind w:right="72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600" w:type="dxa"/>
            <w:vAlign w:val="bottom"/>
            <w:gridSpan w:val="2"/>
          </w:tcPr>
          <w:p>
            <w:pPr>
              <w:jc w:val="center"/>
              <w:ind w:right="720"/>
              <w:spacing w:after="0"/>
              <w:rPr>
                <w:sz w:val="20"/>
                <w:szCs w:val="20"/>
                <w:color w:val="auto"/>
              </w:rPr>
            </w:pPr>
            <w:r>
              <w:rPr>
                <w:rFonts w:ascii="Times New Roman" w:cs="Times New Roman" w:eastAsia="Times New Roman" w:hAnsi="Times New Roman"/>
                <w:sz w:val="10"/>
                <w:szCs w:val="10"/>
                <w:b w:val="1"/>
                <w:bCs w:val="1"/>
                <w:color w:val="auto"/>
                <w:w w:val="94"/>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Name of each exchange on which registered</w:t>
            </w:r>
          </w:p>
        </w:tc>
      </w:tr>
      <w:tr>
        <w:trPr>
          <w:trHeight w:val="13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Common Stock, par value $0.01 per share</w:t>
            </w:r>
          </w:p>
        </w:tc>
        <w:tc>
          <w:tcPr>
            <w:tcW w:w="740" w:type="dxa"/>
            <w:vAlign w:val="bottom"/>
          </w:tcPr>
          <w:p>
            <w:pPr>
              <w:spacing w:after="0"/>
              <w:rPr>
                <w:sz w:val="11"/>
                <w:szCs w:val="11"/>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SGRY</w:t>
            </w:r>
          </w:p>
        </w:tc>
        <w:tc>
          <w:tcPr>
            <w:tcW w:w="720" w:type="dxa"/>
            <w:vAlign w:val="bottom"/>
          </w:tcPr>
          <w:p>
            <w:pPr>
              <w:spacing w:after="0"/>
              <w:rPr>
                <w:sz w:val="11"/>
                <w:szCs w:val="11"/>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The Nasdaq Global Select Market</w:t>
            </w:r>
          </w:p>
        </w:tc>
      </w:tr>
    </w:tbl>
    <w:p>
      <w:pPr>
        <w:spacing w:after="0" w:line="157" w:lineRule="exact"/>
        <w:rPr>
          <w:sz w:val="24"/>
          <w:szCs w:val="24"/>
          <w:color w:val="auto"/>
        </w:rPr>
      </w:pPr>
    </w:p>
    <w:p>
      <w:pPr>
        <w:jc w:val="both"/>
        <w:ind w:left="8" w:right="20"/>
        <w:spacing w:after="0" w:line="19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45"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518160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79375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28"/>
          </w:cols>
          <w:pgMar w:left="292" w:top="810" w:right="5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May 5, 2026, Surgery Partners, Inc. (the "Company") issued a press release announcing results for the three months ended March 31, 2026. See the press release attached as Exhibit 99.1.</w:t>
      </w:r>
    </w:p>
    <w:p>
      <w:pPr>
        <w:spacing w:after="0" w:line="6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 this Current Report on Form 8-K, including Exhibit 99.1, shall not be deemed "filed" for the purpose of Section 18 of the Securities Exchange Act of 1934 or otherwise subject to the liabilities of that section, nor shall it be deemed incorporated by reference in any filing under the Securities Act of 1933.</w:t>
      </w:r>
    </w:p>
    <w:p>
      <w:pPr>
        <w:spacing w:after="0" w:line="3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Company makes reference to non-GAAP financial measures in the attached press release and a reconciliation of such non-GAAP financial measures to the most directly comparable GAAP financial measures is provided therein.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ectPr>
          <w:pgSz w:w="11900" w:h="16838" w:orient="portrait"/>
          <w:cols w:equalWidth="0" w:num="1">
            <w:col w:w="11300"/>
          </w:cols>
          <w:pgMar w:left="300" w:top="701" w:right="29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 Exhibits: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99.1</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99.2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Press release dated May 5,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Q1 2026 Earnings Presentation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442595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600" w:space="500"/>
            <w:col w:w="10200"/>
          </w:cols>
          <w:pgMar w:left="300" w:top="701" w:right="299" w:bottom="1440" w:gutter="0" w:footer="0" w:header="0"/>
          <w:type w:val="continuous"/>
        </w:sectPr>
      </w:pPr>
    </w:p>
    <w:bookmarkStart w:id="2" w:name="page3"/>
    <w:bookmarkEnd w:id="2"/>
    <w:p>
      <w:pPr>
        <w:ind w:left="50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color w:val="auto"/>
        </w:rPr>
        <w:t>SURGERY PARTNERS, INC.</w:t>
      </w:r>
    </w:p>
    <w:p>
      <w:pPr>
        <w:spacing w:after="0" w:line="87" w:lineRule="exact"/>
        <w:rPr>
          <w:sz w:val="20"/>
          <w:szCs w:val="20"/>
          <w:color w:val="auto"/>
        </w:rPr>
      </w:pPr>
    </w:p>
    <w:p>
      <w:pPr>
        <w:ind w:left="2420"/>
        <w:spacing w:after="0"/>
        <w:tabs>
          <w:tab w:leader="none" w:pos="2760" w:val="left"/>
          <w:tab w:leader="none" w:pos="4840" w:val="left"/>
          <w:tab w:leader="none" w:pos="5180" w:val="left"/>
        </w:tabs>
        <w:rPr>
          <w:sz w:val="20"/>
          <w:szCs w:val="20"/>
          <w:color w:val="auto"/>
        </w:rPr>
      </w:pPr>
      <w:r>
        <w:rPr>
          <w:rFonts w:ascii="Times New Roman" w:cs="Times New Roman" w:eastAsia="Times New Roman" w:hAnsi="Times New Roman"/>
          <w:sz w:val="23"/>
          <w:szCs w:val="23"/>
          <w:color w:val="auto"/>
          <w:vertAlign w:val="superscript"/>
        </w:rPr>
        <w:t>Date:</w:t>
      </w:r>
      <w:r>
        <w:rPr>
          <w:rFonts w:ascii="Times New Roman" w:cs="Times New Roman" w:eastAsia="Times New Roman" w:hAnsi="Times New Roman"/>
          <w:sz w:val="12"/>
          <w:szCs w:val="12"/>
          <w:color w:val="auto"/>
        </w:rPr>
        <w:tab/>
        <w:t>May 5,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David T. Doherty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-6350</wp:posOffset>
            </wp:positionV>
            <wp:extent cx="20974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2"/>
          <w:szCs w:val="12"/>
          <w:color w:val="auto"/>
        </w:rPr>
        <w:t>David T. Doherty</w:t>
      </w:r>
    </w:p>
    <w:p>
      <w:pPr>
        <w:spacing w:after="0" w:line="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2"/>
          <w:szCs w:val="12"/>
          <w:i w:val="1"/>
          <w:iCs w:val="1"/>
          <w:color w:val="auto"/>
        </w:rPr>
        <w:t>Executive Vice President and Chief Financial Officer</w:t>
      </w:r>
    </w:p>
    <w:p>
      <w:pPr>
        <w:sectPr>
          <w:pgSz w:w="11900" w:h="16838" w:orient="portrait"/>
          <w:cols w:equalWidth="0" w:num="1">
            <w:col w:w="9959"/>
          </w:cols>
          <w:pgMar w:left="50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436245</wp:posOffset>
            </wp:positionV>
            <wp:extent cx="2360295" cy="320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60295" cy="32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SURGERY PARTNERS, INC. ANNOUNCES FIRST QUARTER 2026 RESULTS</w:t>
      </w:r>
    </w:p>
    <w:p>
      <w:pPr>
        <w:spacing w:after="0" w:line="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REAFFIRMS FULL YEAR 2026 GUIDANCE</w:t>
      </w:r>
    </w:p>
    <w:p>
      <w:pPr>
        <w:spacing w:after="0" w:line="360" w:lineRule="exact"/>
        <w:rPr>
          <w:sz w:val="20"/>
          <w:szCs w:val="20"/>
          <w:color w:val="auto"/>
        </w:rPr>
      </w:pPr>
    </w:p>
    <w:p>
      <w:pPr>
        <w:ind w:left="8" w:right="40"/>
        <w:spacing w:after="0" w:line="279" w:lineRule="auto"/>
        <w:rPr>
          <w:sz w:val="20"/>
          <w:szCs w:val="20"/>
          <w:color w:val="auto"/>
        </w:rPr>
      </w:pPr>
      <w:r>
        <w:rPr>
          <w:rFonts w:ascii="Times New Roman" w:cs="Times New Roman" w:eastAsia="Times New Roman" w:hAnsi="Times New Roman"/>
          <w:sz w:val="12"/>
          <w:szCs w:val="12"/>
          <w:color w:val="auto"/>
        </w:rPr>
        <w:t>BRENTWOOD, Tenn., May 5, 2026 (GLOBE NEWSWIRE) - Surgery Partners, Inc. (NASDAQ:SGRY) (“Surgery Partners” or the “Company”), a leading short-stay surgical facility owner and operator, today announced results for the first quarter ended March 31, 2026.</w:t>
      </w:r>
    </w:p>
    <w:p>
      <w:pPr>
        <w:spacing w:after="0" w:line="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First Quarter 2026 Financial Highlights</w:t>
      </w:r>
    </w:p>
    <w:p>
      <w:pPr>
        <w:spacing w:after="0" w:line="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(All comparisons are year-over-year unless otherwise noted)</w:t>
      </w:r>
    </w:p>
    <w:p>
      <w:pPr>
        <w:spacing w:after="0" w:line="80" w:lineRule="exact"/>
        <w:rPr>
          <w:sz w:val="20"/>
          <w:szCs w:val="20"/>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Revenue increased 4.5% for the first quarter</w:t>
      </w:r>
    </w:p>
    <w:p>
      <w:pPr>
        <w:spacing w:after="0" w:line="16" w:lineRule="exact"/>
        <w:rPr>
          <w:rFonts w:ascii="Times New Roman" w:cs="Times New Roman" w:eastAsia="Times New Roman" w:hAnsi="Times New Roman"/>
          <w:sz w:val="12"/>
          <w:szCs w:val="12"/>
          <w:b w:val="1"/>
          <w:bCs w:val="1"/>
          <w:color w:val="auto"/>
        </w:rPr>
      </w:pPr>
    </w:p>
    <w:p>
      <w:pPr>
        <w:ind w:left="428" w:hanging="212"/>
        <w:spacing w:after="0"/>
        <w:tabs>
          <w:tab w:leader="none" w:pos="4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Same-facility revenues increased 4.4% for the first quarter</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Same-facility cases increased 0.6% for the first quarter</w:t>
      </w:r>
    </w:p>
    <w:p>
      <w:pPr>
        <w:spacing w:after="0" w:line="67"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Net loss attributable to Surgery Partners, Inc. was $35.9 million for the first quarter</w:t>
      </w:r>
    </w:p>
    <w:p>
      <w:pPr>
        <w:spacing w:after="0" w:line="16" w:lineRule="exact"/>
        <w:rPr>
          <w:rFonts w:ascii="Times New Roman" w:cs="Times New Roman" w:eastAsia="Times New Roman" w:hAnsi="Times New Roman"/>
          <w:sz w:val="12"/>
          <w:szCs w:val="12"/>
          <w:b w:val="1"/>
          <w:bCs w:val="1"/>
          <w:color w:val="auto"/>
        </w:rPr>
      </w:pPr>
    </w:p>
    <w:p>
      <w:pPr>
        <w:ind w:left="428" w:hanging="212"/>
        <w:spacing w:after="0"/>
        <w:tabs>
          <w:tab w:leader="none" w:pos="428"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was $102.3 million for the first quarter</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2026 Guidance</w:t>
      </w:r>
    </w:p>
    <w:p>
      <w:pPr>
        <w:spacing w:after="0" w:line="46"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Full year 2026 revenue guidance reaffirmed to be in the range of $3.35 billion to $3.45 billion and Adjusted EBITDA of at least $530 million</w:t>
      </w:r>
    </w:p>
    <w:p>
      <w:pPr>
        <w:spacing w:after="0" w:line="150" w:lineRule="exact"/>
        <w:rPr>
          <w:sz w:val="20"/>
          <w:szCs w:val="20"/>
          <w:color w:val="auto"/>
        </w:rPr>
      </w:pPr>
    </w:p>
    <w:p>
      <w:pPr>
        <w:ind w:left="8" w:right="100"/>
        <w:spacing w:after="0" w:line="260" w:lineRule="auto"/>
        <w:rPr>
          <w:sz w:val="20"/>
          <w:szCs w:val="20"/>
          <w:color w:val="auto"/>
        </w:rPr>
      </w:pPr>
      <w:r>
        <w:rPr>
          <w:rFonts w:ascii="Times New Roman" w:cs="Times New Roman" w:eastAsia="Times New Roman" w:hAnsi="Times New Roman"/>
          <w:sz w:val="12"/>
          <w:szCs w:val="12"/>
          <w:color w:val="auto"/>
        </w:rPr>
        <w:t>Eric Evans, Chief Executive Officer, stated, “We are encouraged by our solid start to 2026, with same store revenue growth of 4.4% in line with our Q1 and long-term growth expectations. As we continue to navigate near-term market dynamics, our cost management discipline and continued execution on physician recruitment position us well to meet or exceed our 2026 plan. Our portfolio optimization efforts also remain critical to our long-term strategy as we take steps to better align with our core short-stay surgical operating model. Looking ahead, we are confident in our ability to return to our growth algorithm through capitalizing on market opportunities, driving operational excellence, and thoughtful capital deployment.”</w:t>
      </w:r>
    </w:p>
    <w:p>
      <w:pPr>
        <w:spacing w:after="0" w:line="50" w:lineRule="exact"/>
        <w:rPr>
          <w:sz w:val="20"/>
          <w:szCs w:val="20"/>
          <w:color w:val="auto"/>
        </w:rPr>
      </w:pPr>
    </w:p>
    <w:p>
      <w:pPr>
        <w:jc w:val="both"/>
        <w:ind w:left="8" w:right="140"/>
        <w:spacing w:after="0" w:line="265" w:lineRule="auto"/>
        <w:rPr>
          <w:sz w:val="20"/>
          <w:szCs w:val="20"/>
          <w:color w:val="auto"/>
        </w:rPr>
      </w:pPr>
      <w:r>
        <w:rPr>
          <w:rFonts w:ascii="Times New Roman" w:cs="Times New Roman" w:eastAsia="Times New Roman" w:hAnsi="Times New Roman"/>
          <w:sz w:val="12"/>
          <w:szCs w:val="12"/>
          <w:color w:val="auto"/>
        </w:rPr>
        <w:t>Dave Doherty, Chief Financial Officer, commented, “The results we reported today were in line with expectations and reinforce our confidence in reaffirming our guidance for the full year. We are beginning to see improvements, and we continue to believe in the strong fundamentals underpinning our business. Through disciplined execution, and a continued focus on improving free cash flow and reducing leverage, we are well-positioned to return the business to consistent growth, while delivering on long-term shareholder value.”</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First Quarter 2026 Results</w:t>
      </w:r>
    </w:p>
    <w:p>
      <w:pPr>
        <w:spacing w:after="0" w:line="82" w:lineRule="exact"/>
        <w:rPr>
          <w:sz w:val="20"/>
          <w:szCs w:val="20"/>
          <w:color w:val="auto"/>
        </w:rPr>
      </w:pPr>
    </w:p>
    <w:p>
      <w:pPr>
        <w:jc w:val="both"/>
        <w:ind w:left="8" w:right="240"/>
        <w:spacing w:after="0" w:line="265" w:lineRule="auto"/>
        <w:rPr>
          <w:sz w:val="20"/>
          <w:szCs w:val="20"/>
          <w:color w:val="auto"/>
        </w:rPr>
      </w:pPr>
      <w:r>
        <w:rPr>
          <w:rFonts w:ascii="Times New Roman" w:cs="Times New Roman" w:eastAsia="Times New Roman" w:hAnsi="Times New Roman"/>
          <w:sz w:val="12"/>
          <w:szCs w:val="12"/>
          <w:color w:val="auto"/>
        </w:rPr>
        <w:t>Revenues for the first quarter of 2026 increased 4.5% to $810.9 million compared to $776.0 million for the first quarter of 2025. Same-facility revenues for the first quarter of 2026 increased 4.4% as compared to the same period in prior year, with a 3.8% increase in revenue per case and a 0.6% increase in same-facility cases. For the first quarter of 2026, the Company’s Adjusted EBITDA was $102.3 million, compared to $103.9 million for the same period in 2025.</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Liquidity</w:t>
      </w:r>
    </w:p>
    <w:p>
      <w:pPr>
        <w:spacing w:after="0" w:line="82" w:lineRule="exact"/>
        <w:rPr>
          <w:sz w:val="20"/>
          <w:szCs w:val="20"/>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Surgery Partners had cash and cash equivalents of $182.3 million and $666.1 million of borrowing capacity under its revolving credit facility as of March 31, 2026. Cash flows from operating activities were $11.7 million for the first quarter of 2026, compared to $6.0 million for the same period in 2025. The period-over-period change is due to timing of routine transactions involving working capital.</w:t>
      </w:r>
    </w:p>
    <w:p>
      <w:pPr>
        <w:spacing w:after="0" w:line="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Company’s ratio of total net debt to EBITDA, as calculated under the Company’s credit agreement, was approximately 4.3x at the end of the first quarter of 2026.</w:t>
      </w:r>
    </w:p>
    <w:p>
      <w:pPr>
        <w:spacing w:after="0" w:line="200" w:lineRule="exact"/>
        <w:rPr>
          <w:sz w:val="20"/>
          <w:szCs w:val="20"/>
          <w:color w:val="auto"/>
        </w:rPr>
      </w:pPr>
    </w:p>
    <w:p>
      <w:pPr>
        <w:spacing w:after="0" w:line="38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8"/>
          </w:cols>
          <w:pgMar w:left="292"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2026 Outlook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reaffirmed its outlook for 2026 revenues to be in the range of $3.35 billion to $3.45 billion and Adjusted EBITDA of at least $530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82"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Surgery Partners will hold a conference call today, May 5, 2026 at 8:30 a.m. (Eastern Time). The conference call can be accessed live over the phone by dialing 1-877-451-6152, or for international callers, 1-201-389-0879. A replay will be available three hours after the call and can be accessed by dialing 1-844-512-2921, or for international callers, 1-412-317-6671. The passcode for the live call and the replay is 13760194. The replay will be available until May 19, 2026.</w:t>
      </w:r>
    </w:p>
    <w:p>
      <w:pPr>
        <w:spacing w:after="0" w:line="47"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Interested investors and other parties may also listen to a simultaneous webcast of the conference call by logging onto the Investor Relations section of the Company's website at www.surgerypartners.com. The replay will also be available on this same website for a limited time following the call.</w:t>
      </w:r>
    </w:p>
    <w:p>
      <w:pPr>
        <w:spacing w:after="0" w:line="39" w:lineRule="exact"/>
        <w:rPr>
          <w:sz w:val="20"/>
          <w:szCs w:val="20"/>
          <w:color w:val="auto"/>
        </w:rPr>
      </w:pPr>
    </w:p>
    <w:p>
      <w:pPr>
        <w:jc w:val="both"/>
        <w:ind w:right="300"/>
        <w:spacing w:after="0" w:line="279" w:lineRule="auto"/>
        <w:rPr>
          <w:sz w:val="20"/>
          <w:szCs w:val="20"/>
          <w:color w:val="auto"/>
        </w:rPr>
      </w:pPr>
      <w:r>
        <w:rPr>
          <w:rFonts w:ascii="Times New Roman" w:cs="Times New Roman" w:eastAsia="Times New Roman" w:hAnsi="Times New Roman"/>
          <w:sz w:val="12"/>
          <w:szCs w:val="12"/>
          <w:color w:val="auto"/>
        </w:rPr>
        <w:t>To learn more about Surgery Partners, please visit the Company's website at www.surgerypartners.com. Surgery Partners uses its website as a channel of distribution for material Company information. Financial and other material information regarding Surgery Partners is routinely posted on the Company's website and is readily accessible.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Surgery Partners</w:t>
      </w:r>
    </w:p>
    <w:p>
      <w:pPr>
        <w:spacing w:after="0" w:line="82"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2"/>
          <w:szCs w:val="12"/>
          <w:color w:val="auto"/>
        </w:rPr>
        <w:t>Headquartered in Brentwood, Tennessee, Surgery Partners is a leading healthcare services company with a differentiated outpatient delivery model focused on providing high quality, cost effective solutions for surgical and related ancillary care in support of both patients and physicians. Founded in 2004, Surgery Partners is one of the largest and fastest growing surgical services businesses in the country, with more than 200 locations in 30 states, including ambulatory surgery centers, surgical hospitals, multi-specialty physician practices and urgent care facilities. For additional information, visit www.surgerypartners.com.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This press release contains forward-looking statements, including those regarding growth, our anticipated operating results for future periods and other similar statements. These statements can be identified by the use of words such as "believes," "anticipates," "expects," "intends," "plans," "continues," "estimates," "predicts," "projects," "forecasts," "may," "could," and similar expressions. All forward-looking statements are based on current expectations and beliefs as of the date of this release and are subject to risks, uncertainties and other factors that may cause actual results to differ materially from the expectations discussed in, or implied by, the forward-looking statements. Many of these factors are beyond our ability to control or predict including, without limitation, reductions in payments from government health 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the impact of payor controls designed to reduce the number of surgical procedures; our efforts to integrate operations of acquired or developed businesses and surgical facilities, attract new physician partners, or acquire additional surgical facilities; supply chain issues, including shortages or quality control issues with surgery-related products, equipment and medical supplies; competition for physicians, nurses, strategic relationships, acquisitions and managed care contracts; our ability to attract and retain qualified health care professionals; our ability to enforce non-compete restrictions against our physicians; our ability to manage material liabilities whether known or unknown incurred as a result of acquiring or operating surgical facilities; the impact of future legislation and other health care regulatory reform actions, and the effect of that legislation and other regulatory actions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and the risks and uncertainties identified and discussed from time to time in the Company’s reports filed with the Securities and Exchange Commission (the "SEC"), including in Item 1A under the heading "Risk Factors" in the Company’s Annual Report on Form 10-K for the year ended December 31, 2025 and other reports filed with the SEC. Except as required by law, the Company undertakes no obligation to revise or update publicly any forward-looking statements to reflect events or circumstances after the date of this report, or to reflect the occurrence of unanticipated events or circumstances.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88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Use of Non-GAAP Financial Measures</w:t>
      </w:r>
    </w:p>
    <w:p>
      <w:pPr>
        <w:spacing w:after="0" w:line="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In addition to the results prepared in accordance with generally accepted accounting principles in the United States ("GAAP") provided throughout this press release, Surgery Partners has presented the following non-GAAP financial measures: Adjusted net income (loss) attributable to common stockholders, Adjusted net income (loss) per share attributable to common stockholders, Adjusted EBITDA, and Adjusted EBITDA related to unconsolidated affiliates, which exclude various items detailed in the "Reconciliation of Non-GAAP Financial Measures" below.</w:t>
      </w:r>
    </w:p>
    <w:p>
      <w:pPr>
        <w:spacing w:after="0" w:line="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These non-GAAP financial measures are not intended to replace financial performance measures determined in accordance with GAAP. Rather, they are presented as supplemental measures of the Company's performance that management believes may enhance the evaluation of the Company's ongoing operating results. These non-GAAP financial measures are not presented in accordance with GAAP, and the Company’s computation of these non-GAAP financial measures may vary from similar measures used by other companies. These measures have limitations as an analytical tool and should not be considered in isolation or as a substitute or alternative to revenue, net income or loss, operating income or loss, cash flows from operating activities, total indebtedness or any other measures of operating performance, liquidity or indebtedness derived in accordance with GAAP.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881" w:right="299" w:bottom="1440" w:gutter="0" w:footer="0" w:header="0"/>
        </w:sectPr>
      </w:pPr>
    </w:p>
    <w:bookmarkStart w:id="6" w:name="page7"/>
    <w:bookmarkEnd w:id="6"/>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SURGERY PARTNERS, INC.</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Selected Consolidated Financial Data</w:t>
      </w:r>
    </w:p>
    <w:p>
      <w:pPr>
        <w:spacing w:after="0" w:line="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i w:val="1"/>
          <w:iCs w:val="1"/>
          <w:color w:val="auto"/>
        </w:rPr>
        <w:t>(Dollars in millions, except per share amounts, shares in thousands)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i w:val="1"/>
          <w:iCs w:val="1"/>
          <w:color w:val="auto"/>
        </w:rPr>
        <w:t>(Unaudited)</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5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c>
          <w:tcPr>
            <w:tcW w:w="780" w:type="dxa"/>
            <w:vAlign w:val="bottom"/>
            <w:tcBorders>
              <w:bottom w:val="single" w:sz="8" w:color="auto"/>
            </w:tcBorders>
          </w:tcPr>
          <w:p>
            <w:pPr>
              <w:spacing w:after="0"/>
              <w:rPr>
                <w:sz w:val="9"/>
                <w:szCs w:val="9"/>
                <w:color w:val="auto"/>
              </w:rPr>
            </w:pPr>
          </w:p>
        </w:tc>
      </w:tr>
      <w:tr>
        <w:trPr>
          <w:trHeight w:val="108"/>
        </w:trPr>
        <w:tc>
          <w:tcPr>
            <w:tcW w:w="85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8"/>
                <w:szCs w:val="8"/>
                <w:b w:val="1"/>
                <w:bCs w:val="1"/>
                <w:color w:val="auto"/>
              </w:rPr>
              <w:t>2026</w:t>
            </w: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8"/>
                <w:szCs w:val="8"/>
                <w:b w:val="1"/>
                <w:bCs w:val="1"/>
                <w:color w:val="auto"/>
                <w:w w:val="99"/>
              </w:rPr>
              <w:t>2025</w:t>
            </w:r>
          </w:p>
        </w:tc>
      </w:tr>
      <w:tr>
        <w:trPr>
          <w:trHeight w:val="92"/>
        </w:trPr>
        <w:tc>
          <w:tcPr>
            <w:tcW w:w="8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44"/>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776.0</w:t>
            </w: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1"/>
                <w:szCs w:val="11"/>
                <w:color w:val="auto"/>
              </w:rPr>
              <w:t>Operating expenses: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Salaries and benefits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238.6</w:t>
            </w:r>
          </w:p>
        </w:tc>
      </w:tr>
      <w:tr>
        <w:trPr>
          <w:trHeight w:val="142"/>
        </w:trPr>
        <w:tc>
          <w:tcPr>
            <w:tcW w:w="8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Supplies</w:t>
            </w: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w:t>
            </w:r>
          </w:p>
        </w:tc>
      </w:tr>
      <w:tr>
        <w:trPr>
          <w:trHeight w:val="14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Professional and medical fees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w:t>
            </w:r>
          </w:p>
        </w:tc>
      </w:tr>
      <w:tr>
        <w:trPr>
          <w:trHeight w:val="142"/>
        </w:trPr>
        <w:tc>
          <w:tcPr>
            <w:tcW w:w="8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Lease expense</w:t>
            </w: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r>
      <w:tr>
        <w:trPr>
          <w:trHeight w:val="14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operating expenses</w:t>
            </w: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r>
      <w:tr>
        <w:trPr>
          <w:trHeight w:val="131"/>
        </w:trPr>
        <w:tc>
          <w:tcPr>
            <w:tcW w:w="85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Cost of revenues</w:t>
            </w:r>
          </w:p>
        </w:tc>
        <w:tc>
          <w:tcPr>
            <w:tcW w:w="3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614.1</w:t>
            </w:r>
          </w:p>
        </w:tc>
      </w:tr>
      <w:tr>
        <w:trPr>
          <w:trHeight w:val="14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w:t>
            </w:r>
          </w:p>
        </w:tc>
      </w:tr>
      <w:tr>
        <w:trPr>
          <w:trHeight w:val="142"/>
        </w:trPr>
        <w:tc>
          <w:tcPr>
            <w:tcW w:w="8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r>
      <w:tr>
        <w:trPr>
          <w:trHeight w:val="146"/>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and integration costs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1"/>
                <w:szCs w:val="11"/>
                <w:color w:val="auto"/>
              </w:rPr>
              <w:t>Net loss on disposals, consolidations and deconsolidations</w:t>
            </w: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4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1"/>
                <w:szCs w:val="11"/>
                <w:color w:val="auto"/>
              </w:rPr>
              <w:t>Litigation settlements</w:t>
            </w:r>
          </w:p>
        </w:tc>
        <w:tc>
          <w:tcPr>
            <w:tcW w:w="3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44"/>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income, net</w:t>
            </w: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3"/>
        </w:trPr>
        <w:tc>
          <w:tcPr>
            <w:tcW w:w="85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745.1</w:t>
            </w:r>
          </w:p>
        </w:tc>
        <w:tc>
          <w:tcPr>
            <w:tcW w:w="1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714.1</w:t>
            </w:r>
          </w:p>
        </w:tc>
      </w:tr>
      <w:tr>
        <w:trPr>
          <w:trHeight w:val="13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w:t>
            </w:r>
          </w:p>
        </w:tc>
      </w:tr>
      <w:tr>
        <w:trPr>
          <w:trHeight w:val="142"/>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Interest expense, net</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(62.2)</w:t>
            </w:r>
          </w:p>
        </w:tc>
      </w:tr>
      <w:tr>
        <w:trPr>
          <w:trHeight w:val="13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2"/>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3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2"/>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Less: Net income attributable to non-controlling interests</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w:t>
            </w:r>
          </w:p>
        </w:tc>
      </w:tr>
      <w:tr>
        <w:trPr>
          <w:trHeight w:val="151"/>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 attributable to Surgery Partners, Inc.</w:t>
            </w: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r>
      <w:tr>
        <w:trPr>
          <w:trHeight w:val="126"/>
        </w:trPr>
        <w:tc>
          <w:tcPr>
            <w:tcW w:w="8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4"/>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per share attributable to common stockholders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2"/>
        </w:trPr>
        <w:tc>
          <w:tcPr>
            <w:tcW w:w="85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Basic</w:t>
            </w:r>
          </w:p>
        </w:tc>
        <w:tc>
          <w:tcPr>
            <w:tcW w:w="34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100" w:type="dxa"/>
            <w:vAlign w:val="bottom"/>
          </w:tcPr>
          <w:p>
            <w:pPr>
              <w:spacing w:after="0"/>
              <w:rPr>
                <w:sz w:val="12"/>
                <w:szCs w:val="12"/>
                <w:color w:val="auto"/>
              </w:rPr>
            </w:pP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r>
      <w:tr>
        <w:trPr>
          <w:trHeight w:val="146"/>
        </w:trPr>
        <w:tc>
          <w:tcPr>
            <w:tcW w:w="8520" w:type="dxa"/>
            <w:vAlign w:val="bottom"/>
            <w:shd w:val="clear" w:color="auto" w:fill="CCEEFF"/>
          </w:tcPr>
          <w:p>
            <w:pPr>
              <w:ind w:left="160"/>
              <w:spacing w:after="0" w:line="146" w:lineRule="exact"/>
              <w:rPr>
                <w:sz w:val="20"/>
                <w:szCs w:val="20"/>
                <w:color w:val="auto"/>
              </w:rPr>
            </w:pPr>
            <w:r>
              <w:rPr>
                <w:rFonts w:ascii="Times New Roman" w:cs="Times New Roman" w:eastAsia="Times New Roman" w:hAnsi="Times New Roman"/>
                <w:sz w:val="11"/>
                <w:szCs w:val="11"/>
                <w:color w:val="auto"/>
              </w:rPr>
              <w:t xml:space="preserve">Diluted </w:t>
            </w:r>
            <w:r>
              <w:rPr>
                <w:rFonts w:ascii="Times New Roman" w:cs="Times New Roman" w:eastAsia="Times New Roman" w:hAnsi="Times New Roman"/>
                <w:sz w:val="14"/>
                <w:szCs w:val="14"/>
                <w:color w:val="auto"/>
                <w:vertAlign w:val="superscript"/>
              </w:rPr>
              <w:t>(1)</w:t>
            </w:r>
          </w:p>
        </w:tc>
        <w:tc>
          <w:tcPr>
            <w:tcW w:w="34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w:t>
            </w:r>
          </w:p>
        </w:tc>
      </w:tr>
      <w:tr>
        <w:trPr>
          <w:trHeight w:val="142"/>
        </w:trPr>
        <w:tc>
          <w:tcPr>
            <w:tcW w:w="8520" w:type="dxa"/>
            <w:vAlign w:val="bottom"/>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6"/>
        </w:trPr>
        <w:tc>
          <w:tcPr>
            <w:tcW w:w="8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Basic</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128,367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126,602</w:t>
            </w:r>
          </w:p>
        </w:tc>
      </w:tr>
      <w:tr>
        <w:trPr>
          <w:trHeight w:val="186"/>
        </w:trPr>
        <w:tc>
          <w:tcPr>
            <w:tcW w:w="85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 xml:space="preserve">Diluted </w:t>
            </w:r>
            <w:r>
              <w:rPr>
                <w:rFonts w:ascii="Times New Roman" w:cs="Times New Roman" w:eastAsia="Times New Roman" w:hAnsi="Times New Roman"/>
                <w:sz w:val="14"/>
                <w:szCs w:val="14"/>
                <w:color w:val="auto"/>
                <w:vertAlign w:val="superscript"/>
              </w:rPr>
              <w:t>(1)</w:t>
            </w:r>
          </w:p>
        </w:tc>
        <w:tc>
          <w:tcPr>
            <w:tcW w:w="3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128,367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126,602</w:t>
            </w:r>
          </w:p>
        </w:tc>
      </w:tr>
    </w:tbl>
    <w:p>
      <w:pPr>
        <w:spacing w:after="0" w:line="135" w:lineRule="exact"/>
        <w:rPr>
          <w:sz w:val="20"/>
          <w:szCs w:val="20"/>
          <w:color w:val="auto"/>
        </w:rPr>
      </w:pPr>
    </w:p>
    <w:p>
      <w:pPr>
        <w:ind w:left="108" w:hanging="108"/>
        <w:spacing w:after="0"/>
        <w:tabs>
          <w:tab w:leader="none" w:pos="108" w:val="left"/>
        </w:tabs>
        <w:numPr>
          <w:ilvl w:val="0"/>
          <w:numId w:val="4"/>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The impact of potentially dilutive securities for all periods was not considered because the effect would be anti-dilutive.</w:t>
      </w:r>
    </w:p>
    <w:p>
      <w:pPr>
        <w:spacing w:after="0" w:line="200" w:lineRule="exact"/>
        <w:rPr>
          <w:sz w:val="20"/>
          <w:szCs w:val="20"/>
          <w:color w:val="auto"/>
        </w:rPr>
      </w:pP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776" w:right="299" w:bottom="1440" w:gutter="0" w:footer="0" w:header="0"/>
        </w:sectPr>
      </w:pPr>
    </w:p>
    <w:bookmarkStart w:id="7" w:name="page8"/>
    <w:bookmarkEnd w:id="7"/>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SURGERY PARTNERS, INC.</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Selected Financial and Operating Data</w:t>
      </w:r>
    </w:p>
    <w:p>
      <w:pPr>
        <w:spacing w:after="0" w:line="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i w:val="1"/>
          <w:iCs w:val="1"/>
          <w:color w:val="auto"/>
        </w:rPr>
        <w:t>(Dollars in millions, except per case and per share amounts)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i w:val="1"/>
          <w:iCs w:val="1"/>
          <w:color w:val="auto"/>
        </w:rPr>
        <w:t>(Unaudited)</w:t>
      </w:r>
    </w:p>
    <w:p>
      <w:pPr>
        <w:spacing w:after="0" w:line="72" w:lineRule="exact"/>
        <w:rPr>
          <w:sz w:val="20"/>
          <w:szCs w:val="20"/>
          <w:color w:val="auto"/>
        </w:rPr>
      </w:pPr>
    </w:p>
    <w:tbl>
      <w:tblPr>
        <w:tblLayout w:type="fixed"/>
        <w:tblInd w:w="8" w:type="dxa"/>
        <w:tblCellMar>
          <w:top w:w="0" w:type="dxa"/>
          <w:left w:w="0" w:type="dxa"/>
          <w:bottom w:w="0" w:type="dxa"/>
          <w:right w:w="0" w:type="dxa"/>
        </w:tblCellMar>
      </w:tblPr>
      <w:tr>
        <w:trPr>
          <w:trHeight w:val="92"/>
        </w:trPr>
        <w:tc>
          <w:tcPr>
            <w:tcW w:w="8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3"/>
          </w:tcPr>
          <w:p>
            <w:pPr>
              <w:ind w:left="220"/>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8"/>
                <w:szCs w:val="8"/>
                <w:b w:val="1"/>
                <w:bCs w:val="1"/>
                <w:color w:val="auto"/>
              </w:rPr>
              <w:t>December 31,</w:t>
            </w:r>
          </w:p>
        </w:tc>
      </w:tr>
      <w:tr>
        <w:trPr>
          <w:trHeight w:val="110"/>
        </w:trPr>
        <w:tc>
          <w:tcPr>
            <w:tcW w:w="8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8"/>
                <w:szCs w:val="8"/>
                <w:b w:val="1"/>
                <w:bCs w:val="1"/>
                <w:color w:val="auto"/>
              </w:rPr>
              <w:t>2026</w:t>
            </w:r>
          </w:p>
        </w:tc>
        <w:tc>
          <w:tcPr>
            <w:tcW w:w="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8"/>
                <w:szCs w:val="8"/>
                <w:b w:val="1"/>
                <w:bCs w:val="1"/>
                <w:color w:val="auto"/>
              </w:rPr>
              <w:t>2025</w:t>
            </w:r>
          </w:p>
        </w:tc>
        <w:tc>
          <w:tcPr>
            <w:tcW w:w="20" w:type="dxa"/>
            <w:vAlign w:val="bottom"/>
          </w:tcPr>
          <w:p>
            <w:pPr>
              <w:spacing w:after="0"/>
              <w:rPr>
                <w:sz w:val="9"/>
                <w:szCs w:val="9"/>
                <w:color w:val="auto"/>
              </w:rPr>
            </w:pPr>
          </w:p>
        </w:tc>
      </w:tr>
      <w:tr>
        <w:trPr>
          <w:trHeight w:val="169"/>
        </w:trPr>
        <w:tc>
          <w:tcPr>
            <w:tcW w:w="8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Sheet Data (at period end):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w:t>
            </w: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182.3</w:t>
            </w:r>
          </w:p>
        </w:tc>
        <w:tc>
          <w:tcPr>
            <w:tcW w:w="20" w:type="dxa"/>
            <w:vAlign w:val="bottom"/>
            <w:shd w:val="clear" w:color="auto" w:fill="CCEEFF"/>
          </w:tcPr>
          <w:p>
            <w:pPr>
              <w:spacing w:after="0"/>
              <w:rPr>
                <w:sz w:val="12"/>
                <w:szCs w:val="12"/>
                <w:color w:val="auto"/>
              </w:rPr>
            </w:pPr>
          </w:p>
        </w:tc>
        <w:tc>
          <w:tcPr>
            <w:tcW w:w="3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239.9</w:t>
            </w:r>
          </w:p>
        </w:tc>
        <w:tc>
          <w:tcPr>
            <w:tcW w:w="20" w:type="dxa"/>
            <w:vAlign w:val="bottom"/>
          </w:tcPr>
          <w:p>
            <w:pPr>
              <w:spacing w:after="0"/>
              <w:rPr>
                <w:sz w:val="12"/>
                <w:szCs w:val="12"/>
                <w:color w:val="auto"/>
              </w:rPr>
            </w:pP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Total current assets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1,082.5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1,150.7</w:t>
            </w:r>
          </w:p>
        </w:tc>
        <w:tc>
          <w:tcPr>
            <w:tcW w:w="20" w:type="dxa"/>
            <w:vAlign w:val="bottom"/>
          </w:tcPr>
          <w:p>
            <w:pPr>
              <w:spacing w:after="0"/>
              <w:rPr>
                <w:sz w:val="12"/>
                <w:szCs w:val="12"/>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8,042.1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8,119.7</w:t>
            </w:r>
          </w:p>
        </w:tc>
        <w:tc>
          <w:tcPr>
            <w:tcW w:w="20" w:type="dxa"/>
            <w:vAlign w:val="bottom"/>
          </w:tcPr>
          <w:p>
            <w:pPr>
              <w:spacing w:after="0"/>
              <w:rPr>
                <w:sz w:val="12"/>
                <w:szCs w:val="12"/>
                <w:color w:val="auto"/>
              </w:rPr>
            </w:pPr>
          </w:p>
        </w:tc>
      </w:tr>
      <w:tr>
        <w:trPr>
          <w:trHeight w:val="178"/>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Current maturities of long-term debt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100.4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99.3</w:t>
            </w:r>
          </w:p>
        </w:tc>
        <w:tc>
          <w:tcPr>
            <w:tcW w:w="20" w:type="dxa"/>
            <w:vAlign w:val="bottom"/>
          </w:tcPr>
          <w:p>
            <w:pPr>
              <w:spacing w:after="0"/>
              <w:rPr>
                <w:sz w:val="15"/>
                <w:szCs w:val="15"/>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581.7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615.5</w:t>
            </w:r>
          </w:p>
        </w:tc>
        <w:tc>
          <w:tcPr>
            <w:tcW w:w="20" w:type="dxa"/>
            <w:vAlign w:val="bottom"/>
          </w:tcPr>
          <w:p>
            <w:pPr>
              <w:spacing w:after="0"/>
              <w:rPr>
                <w:sz w:val="12"/>
                <w:szCs w:val="12"/>
                <w:color w:val="auto"/>
              </w:rPr>
            </w:pP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Long-term debt, less current maturities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3,613.5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3,602.9</w:t>
            </w:r>
          </w:p>
        </w:tc>
        <w:tc>
          <w:tcPr>
            <w:tcW w:w="20" w:type="dxa"/>
            <w:vAlign w:val="bottom"/>
          </w:tcPr>
          <w:p>
            <w:pPr>
              <w:spacing w:after="0"/>
              <w:rPr>
                <w:sz w:val="12"/>
                <w:szCs w:val="12"/>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4,560.8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4,592.9</w:t>
            </w:r>
          </w:p>
        </w:tc>
        <w:tc>
          <w:tcPr>
            <w:tcW w:w="20" w:type="dxa"/>
            <w:vAlign w:val="bottom"/>
          </w:tcPr>
          <w:p>
            <w:pPr>
              <w:spacing w:after="0"/>
              <w:rPr>
                <w:sz w:val="12"/>
                <w:szCs w:val="12"/>
                <w:color w:val="auto"/>
              </w:rPr>
            </w:pP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Non-controlling interests—redeemable</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383.4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395.5</w:t>
            </w:r>
          </w:p>
        </w:tc>
        <w:tc>
          <w:tcPr>
            <w:tcW w:w="20" w:type="dxa"/>
            <w:vAlign w:val="bottom"/>
          </w:tcPr>
          <w:p>
            <w:pPr>
              <w:spacing w:after="0"/>
              <w:rPr>
                <w:sz w:val="15"/>
                <w:szCs w:val="15"/>
                <w:color w:val="auto"/>
              </w:rPr>
            </w:pPr>
          </w:p>
        </w:tc>
      </w:tr>
      <w:tr>
        <w:trPr>
          <w:trHeight w:val="40"/>
        </w:trPr>
        <w:tc>
          <w:tcPr>
            <w:tcW w:w="8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44"/>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Surgery Partners, Inc. stockholders' equity</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1,688.0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1,712.9</w:t>
            </w:r>
          </w:p>
        </w:tc>
        <w:tc>
          <w:tcPr>
            <w:tcW w:w="20" w:type="dxa"/>
            <w:vAlign w:val="bottom"/>
          </w:tcPr>
          <w:p>
            <w:pPr>
              <w:spacing w:after="0"/>
              <w:rPr>
                <w:sz w:val="12"/>
                <w:szCs w:val="12"/>
                <w:color w:val="auto"/>
              </w:rPr>
            </w:pP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Non-controlling interests—non-redeemable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1,409.9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1,418.4</w:t>
            </w:r>
          </w:p>
        </w:tc>
        <w:tc>
          <w:tcPr>
            <w:tcW w:w="20" w:type="dxa"/>
            <w:vAlign w:val="bottom"/>
          </w:tcPr>
          <w:p>
            <w:pPr>
              <w:spacing w:after="0"/>
              <w:rPr>
                <w:sz w:val="12"/>
                <w:szCs w:val="12"/>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3,097.9</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3,131.3</w:t>
            </w:r>
          </w:p>
        </w:tc>
        <w:tc>
          <w:tcPr>
            <w:tcW w:w="20" w:type="dxa"/>
            <w:vAlign w:val="bottom"/>
          </w:tcPr>
          <w:p>
            <w:pPr>
              <w:spacing w:after="0"/>
              <w:rPr>
                <w:sz w:val="12"/>
                <w:szCs w:val="12"/>
                <w:color w:val="auto"/>
              </w:rPr>
            </w:pPr>
          </w:p>
        </w:tc>
      </w:tr>
      <w:tr>
        <w:trPr>
          <w:trHeight w:val="264"/>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9"/>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r>
      <w:tr>
        <w:trPr>
          <w:trHeight w:val="104"/>
        </w:trPr>
        <w:tc>
          <w:tcPr>
            <w:tcW w:w="8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8"/>
                <w:szCs w:val="8"/>
                <w:b w:val="1"/>
                <w:bCs w:val="1"/>
                <w:color w:val="auto"/>
              </w:rPr>
              <w:t>2026</w:t>
            </w: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8"/>
                <w:szCs w:val="8"/>
                <w:b w:val="1"/>
                <w:bCs w:val="1"/>
                <w:color w:val="auto"/>
              </w:rPr>
              <w:t>2025</w:t>
            </w:r>
          </w:p>
        </w:tc>
        <w:tc>
          <w:tcPr>
            <w:tcW w:w="20" w:type="dxa"/>
            <w:vAlign w:val="bottom"/>
            <w:tcBorders>
              <w:bottom w:val="single" w:sz="8" w:color="auto"/>
            </w:tcBorders>
          </w:tcPr>
          <w:p>
            <w:pPr>
              <w:spacing w:after="0"/>
              <w:rPr>
                <w:sz w:val="9"/>
                <w:szCs w:val="9"/>
                <w:color w:val="auto"/>
              </w:rPr>
            </w:pPr>
          </w:p>
        </w:tc>
      </w:tr>
      <w:tr>
        <w:trPr>
          <w:trHeight w:val="166"/>
        </w:trPr>
        <w:tc>
          <w:tcPr>
            <w:tcW w:w="8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Cash Flow Data: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cash provided by (used in):</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Operating activities</w:t>
            </w:r>
          </w:p>
        </w:tc>
        <w:tc>
          <w:tcPr>
            <w:tcW w:w="4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11.7</w:t>
            </w:r>
          </w:p>
        </w:tc>
        <w:tc>
          <w:tcPr>
            <w:tcW w:w="20" w:type="dxa"/>
            <w:vAlign w:val="bottom"/>
          </w:tcPr>
          <w:p>
            <w:pPr>
              <w:spacing w:after="0"/>
              <w:rPr>
                <w:sz w:val="12"/>
                <w:szCs w:val="12"/>
                <w:color w:val="auto"/>
              </w:rPr>
            </w:pPr>
          </w:p>
        </w:tc>
        <w:tc>
          <w:tcPr>
            <w:tcW w:w="34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20" w:type="dxa"/>
            <w:vAlign w:val="bottom"/>
          </w:tcPr>
          <w:p>
            <w:pPr>
              <w:spacing w:after="0"/>
              <w:rPr>
                <w:sz w:val="12"/>
                <w:szCs w:val="12"/>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Investing activities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(76.4)</w:t>
            </w:r>
          </w:p>
        </w:tc>
      </w:tr>
      <w:tr>
        <w:trPr>
          <w:trHeight w:val="142"/>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(22.7)</w:t>
            </w:r>
          </w:p>
        </w:tc>
      </w:tr>
      <w:tr>
        <w:trPr>
          <w:trHeight w:val="146"/>
        </w:trPr>
        <w:tc>
          <w:tcPr>
            <w:tcW w:w="8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Payments for acquisitions, net of cash acquired</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(44.0)</w:t>
            </w:r>
          </w:p>
        </w:tc>
      </w:tr>
      <w:tr>
        <w:trPr>
          <w:trHeight w:val="142"/>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Purchases of equity investments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(3.8)</w:t>
            </w: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Financing activities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(55.9)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20" w:type="dxa"/>
            <w:vAlign w:val="bottom"/>
            <w:shd w:val="clear" w:color="auto" w:fill="CCEEFF"/>
          </w:tcPr>
          <w:p>
            <w:pPr>
              <w:spacing w:after="0"/>
              <w:rPr>
                <w:sz w:val="12"/>
                <w:szCs w:val="12"/>
                <w:color w:val="auto"/>
              </w:rPr>
            </w:pPr>
          </w:p>
        </w:tc>
      </w:tr>
      <w:tr>
        <w:trPr>
          <w:trHeight w:val="140"/>
        </w:trPr>
        <w:tc>
          <w:tcPr>
            <w:tcW w:w="83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 holders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(58.0)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(62.3)</w:t>
            </w:r>
          </w:p>
        </w:tc>
      </w:tr>
      <w:tr>
        <w:trPr>
          <w:trHeight w:val="268"/>
        </w:trPr>
        <w:tc>
          <w:tcPr>
            <w:tcW w:w="83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r>
      <w:tr>
        <w:trPr>
          <w:trHeight w:val="104"/>
        </w:trPr>
        <w:tc>
          <w:tcPr>
            <w:tcW w:w="83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8"/>
                <w:szCs w:val="8"/>
                <w:b w:val="1"/>
                <w:bCs w:val="1"/>
                <w:color w:val="auto"/>
              </w:rPr>
              <w:t>2026</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8"/>
                <w:szCs w:val="8"/>
                <w:b w:val="1"/>
                <w:bCs w:val="1"/>
                <w:color w:val="auto"/>
              </w:rPr>
              <w:t>2025</w:t>
            </w:r>
          </w:p>
        </w:tc>
        <w:tc>
          <w:tcPr>
            <w:tcW w:w="20" w:type="dxa"/>
            <w:vAlign w:val="bottom"/>
            <w:tcBorders>
              <w:bottom w:val="single" w:sz="8" w:color="auto"/>
            </w:tcBorders>
          </w:tcPr>
          <w:p>
            <w:pPr>
              <w:spacing w:after="0"/>
              <w:rPr>
                <w:sz w:val="9"/>
                <w:szCs w:val="9"/>
                <w:color w:val="auto"/>
              </w:rPr>
            </w:pPr>
          </w:p>
        </w:tc>
      </w:tr>
      <w:tr>
        <w:trPr>
          <w:trHeight w:val="166"/>
        </w:trPr>
        <w:tc>
          <w:tcPr>
            <w:tcW w:w="8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Other Data:</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Number of surgical facilities as of the end of period</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180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164</w:t>
            </w:r>
          </w:p>
        </w:tc>
        <w:tc>
          <w:tcPr>
            <w:tcW w:w="20" w:type="dxa"/>
            <w:vAlign w:val="bottom"/>
            <w:shd w:val="clear" w:color="auto" w:fill="CCEEFF"/>
          </w:tcPr>
          <w:p>
            <w:pPr>
              <w:spacing w:after="0"/>
              <w:rPr>
                <w:sz w:val="12"/>
                <w:szCs w:val="12"/>
                <w:color w:val="auto"/>
              </w:rPr>
            </w:pP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Number of consolidated surgical facilities as of the end of period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122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118</w:t>
            </w:r>
          </w:p>
        </w:tc>
        <w:tc>
          <w:tcPr>
            <w:tcW w:w="20" w:type="dxa"/>
            <w:vAlign w:val="bottom"/>
          </w:tcPr>
          <w:p>
            <w:pPr>
              <w:spacing w:after="0"/>
              <w:rPr>
                <w:sz w:val="12"/>
                <w:szCs w:val="12"/>
                <w:color w:val="auto"/>
              </w:rPr>
            </w:pPr>
          </w:p>
        </w:tc>
      </w:tr>
      <w:tr>
        <w:trPr>
          <w:trHeight w:val="182"/>
        </w:trPr>
        <w:tc>
          <w:tcPr>
            <w:tcW w:w="8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42"/>
        </w:trPr>
        <w:tc>
          <w:tcPr>
            <w:tcW w:w="8360" w:type="dxa"/>
            <w:vAlign w:val="bottom"/>
          </w:tcPr>
          <w:p>
            <w:pPr>
              <w:spacing w:after="0"/>
              <w:rPr>
                <w:sz w:val="20"/>
                <w:szCs w:val="20"/>
                <w:color w:val="auto"/>
              </w:rPr>
            </w:pPr>
            <w:r>
              <w:rPr>
                <w:rFonts w:ascii="Times New Roman" w:cs="Times New Roman" w:eastAsia="Times New Roman" w:hAnsi="Times New Roman"/>
                <w:sz w:val="11"/>
                <w:szCs w:val="11"/>
                <w:color w:val="auto"/>
              </w:rPr>
              <w:t>Cases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157,711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160,300</w:t>
            </w:r>
          </w:p>
        </w:tc>
        <w:tc>
          <w:tcPr>
            <w:tcW w:w="20" w:type="dxa"/>
            <w:vAlign w:val="bottom"/>
          </w:tcPr>
          <w:p>
            <w:pPr>
              <w:spacing w:after="0"/>
              <w:rPr>
                <w:sz w:val="12"/>
                <w:szCs w:val="12"/>
                <w:color w:val="auto"/>
              </w:rPr>
            </w:pPr>
          </w:p>
        </w:tc>
      </w:tr>
      <w:tr>
        <w:trPr>
          <w:trHeight w:val="14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per case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1"/>
                <w:szCs w:val="11"/>
                <w:color w:val="auto"/>
              </w:rPr>
              <w:t>5,142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4,841</w:t>
            </w:r>
          </w:p>
        </w:tc>
        <w:tc>
          <w:tcPr>
            <w:tcW w:w="20" w:type="dxa"/>
            <w:vAlign w:val="bottom"/>
            <w:shd w:val="clear" w:color="auto" w:fill="CCEEFF"/>
          </w:tcPr>
          <w:p>
            <w:pPr>
              <w:spacing w:after="0"/>
              <w:rPr>
                <w:sz w:val="12"/>
                <w:szCs w:val="12"/>
                <w:color w:val="auto"/>
              </w:rPr>
            </w:pPr>
          </w:p>
        </w:tc>
      </w:tr>
      <w:tr>
        <w:trPr>
          <w:trHeight w:val="144"/>
        </w:trPr>
        <w:tc>
          <w:tcPr>
            <w:tcW w:w="83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Adjusted EBITDA </w:t>
            </w:r>
            <w:r>
              <w:rPr>
                <w:rFonts w:ascii="Times New Roman" w:cs="Times New Roman" w:eastAsia="Times New Roman" w:hAnsi="Times New Roman"/>
                <w:sz w:val="14"/>
                <w:szCs w:val="14"/>
                <w:color w:val="auto"/>
                <w:vertAlign w:val="superscript"/>
              </w:rPr>
              <w:t>(1)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102.3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103.9</w:t>
            </w:r>
          </w:p>
        </w:tc>
        <w:tc>
          <w:tcPr>
            <w:tcW w:w="20" w:type="dxa"/>
            <w:vAlign w:val="bottom"/>
          </w:tcPr>
          <w:p>
            <w:pPr>
              <w:spacing w:after="0"/>
              <w:rPr>
                <w:sz w:val="12"/>
                <w:szCs w:val="12"/>
                <w:color w:val="auto"/>
              </w:rPr>
            </w:pPr>
          </w:p>
        </w:tc>
      </w:tr>
      <w:tr>
        <w:trPr>
          <w:trHeight w:val="144"/>
        </w:trPr>
        <w:tc>
          <w:tcPr>
            <w:tcW w:w="83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Adjusted EBITDA margin </w:t>
            </w:r>
            <w:r>
              <w:rPr>
                <w:rFonts w:ascii="Times New Roman" w:cs="Times New Roman" w:eastAsia="Times New Roman" w:hAnsi="Times New Roman"/>
                <w:sz w:val="14"/>
                <w:szCs w:val="14"/>
                <w:color w:val="auto"/>
                <w:vertAlign w:val="superscript"/>
              </w:rPr>
              <w:t>(2)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12.6 %</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13.4 %</w:t>
            </w:r>
          </w:p>
        </w:tc>
      </w:tr>
      <w:tr>
        <w:trPr>
          <w:trHeight w:val="144"/>
        </w:trPr>
        <w:tc>
          <w:tcPr>
            <w:tcW w:w="836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Adjusted net income per share attributable to common stockholders - Basic </w:t>
            </w:r>
            <w:r>
              <w:rPr>
                <w:rFonts w:ascii="Times New Roman" w:cs="Times New Roman" w:eastAsia="Times New Roman" w:hAnsi="Times New Roman"/>
                <w:sz w:val="14"/>
                <w:szCs w:val="14"/>
                <w:color w:val="auto"/>
                <w:vertAlign w:val="superscript"/>
              </w:rPr>
              <w:t>(1)</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1"/>
                <w:szCs w:val="11"/>
                <w:color w:val="auto"/>
              </w:rPr>
              <w:t>(0.03)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8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0.04</w:t>
            </w:r>
          </w:p>
        </w:tc>
        <w:tc>
          <w:tcPr>
            <w:tcW w:w="20" w:type="dxa"/>
            <w:vAlign w:val="bottom"/>
          </w:tcPr>
          <w:p>
            <w:pPr>
              <w:spacing w:after="0"/>
              <w:rPr>
                <w:sz w:val="12"/>
                <w:szCs w:val="12"/>
                <w:color w:val="auto"/>
              </w:rPr>
            </w:pPr>
          </w:p>
        </w:tc>
      </w:tr>
      <w:tr>
        <w:trPr>
          <w:trHeight w:val="144"/>
        </w:trPr>
        <w:tc>
          <w:tcPr>
            <w:tcW w:w="83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Adjusted net income per share attributable to common stockholders - Diluted </w:t>
            </w:r>
            <w:r>
              <w:rPr>
                <w:rFonts w:ascii="Times New Roman" w:cs="Times New Roman" w:eastAsia="Times New Roman" w:hAnsi="Times New Roman"/>
                <w:sz w:val="14"/>
                <w:szCs w:val="14"/>
                <w:color w:val="auto"/>
                <w:vertAlign w:val="superscript"/>
              </w:rPr>
              <w:t>(1)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(0.03)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0.04</w:t>
            </w:r>
          </w:p>
        </w:tc>
        <w:tc>
          <w:tcPr>
            <w:tcW w:w="20" w:type="dxa"/>
            <w:vAlign w:val="bottom"/>
            <w:shd w:val="clear" w:color="auto" w:fill="CCEEFF"/>
          </w:tcPr>
          <w:p>
            <w:pPr>
              <w:spacing w:after="0"/>
              <w:rPr>
                <w:sz w:val="12"/>
                <w:szCs w:val="12"/>
                <w:color w:val="auto"/>
              </w:rPr>
            </w:pPr>
          </w:p>
        </w:tc>
      </w:tr>
    </w:tbl>
    <w:p>
      <w:pPr>
        <w:spacing w:after="0" w:line="168" w:lineRule="exact"/>
        <w:rPr>
          <w:sz w:val="20"/>
          <w:szCs w:val="20"/>
          <w:color w:val="auto"/>
        </w:rPr>
      </w:pPr>
    </w:p>
    <w:p>
      <w:pPr>
        <w:ind w:left="108" w:hanging="108"/>
        <w:spacing w:after="0"/>
        <w:tabs>
          <w:tab w:leader="none" w:pos="108" w:val="left"/>
        </w:tabs>
        <w:numPr>
          <w:ilvl w:val="0"/>
          <w:numId w:val="5"/>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A reconciliation of these non-GAAP financial measures appears below.</w:t>
      </w:r>
    </w:p>
    <w:p>
      <w:pPr>
        <w:spacing w:after="0" w:line="36" w:lineRule="exact"/>
        <w:rPr>
          <w:rFonts w:ascii="Times New Roman" w:cs="Times New Roman" w:eastAsia="Times New Roman" w:hAnsi="Times New Roman"/>
          <w:sz w:val="11"/>
          <w:szCs w:val="11"/>
          <w:color w:val="auto"/>
          <w:vertAlign w:val="superscript"/>
        </w:rPr>
      </w:pPr>
    </w:p>
    <w:p>
      <w:pPr>
        <w:ind w:left="108" w:hanging="108"/>
        <w:spacing w:after="0" w:line="187" w:lineRule="auto"/>
        <w:tabs>
          <w:tab w:leader="none" w:pos="108" w:val="left"/>
        </w:tabs>
        <w:numPr>
          <w:ilvl w:val="0"/>
          <w:numId w:val="5"/>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Defined as Adjusted EBITDA as a % of Revenues.</w:t>
      </w:r>
    </w:p>
    <w:p>
      <w:pPr>
        <w:spacing w:after="0" w:line="200" w:lineRule="exact"/>
        <w:rPr>
          <w:sz w:val="20"/>
          <w:szCs w:val="20"/>
          <w:color w:val="auto"/>
        </w:rPr>
      </w:pPr>
    </w:p>
    <w:p>
      <w:pPr>
        <w:spacing w:after="0" w:line="3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776" w:right="299" w:bottom="1440" w:gutter="0" w:footer="0" w:header="0"/>
        </w:sectPr>
      </w:pPr>
    </w:p>
    <w:bookmarkStart w:id="8" w:name="page9"/>
    <w:bookmarkEnd w:id="8"/>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SURGERY PARTNERS, INC.</w:t>
      </w:r>
    </w:p>
    <w:p>
      <w:pPr>
        <w:spacing w:after="0" w:line="1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auto"/>
        </w:rPr>
        <w:t>Supplemental Information</w:t>
      </w:r>
    </w:p>
    <w:p>
      <w:pPr>
        <w:spacing w:after="0" w:line="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i w:val="1"/>
          <w:iCs w:val="1"/>
          <w:color w:val="auto"/>
        </w:rPr>
        <w:t>(Dollars in millions, except per case amounts)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i w:val="1"/>
          <w:iCs w:val="1"/>
          <w:color w:val="auto"/>
        </w:rPr>
        <w:t>(Unaudited)</w:t>
      </w:r>
    </w:p>
    <w:p>
      <w:pPr>
        <w:spacing w:after="0" w:line="9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c>
          <w:tcPr>
            <w:tcW w:w="780" w:type="dxa"/>
            <w:vAlign w:val="bottom"/>
            <w:tcBorders>
              <w:bottom w:val="single" w:sz="8" w:color="auto"/>
            </w:tcBorders>
          </w:tcPr>
          <w:p>
            <w:pPr>
              <w:spacing w:after="0"/>
              <w:rPr>
                <w:sz w:val="9"/>
                <w:szCs w:val="9"/>
                <w:color w:val="auto"/>
              </w:rPr>
            </w:pPr>
          </w:p>
        </w:tc>
      </w:tr>
      <w:tr>
        <w:trPr>
          <w:trHeight w:val="108"/>
        </w:trPr>
        <w:tc>
          <w:tcPr>
            <w:tcW w:w="8440" w:type="dxa"/>
            <w:vAlign w:val="bottom"/>
          </w:tcPr>
          <w:p>
            <w:pPr>
              <w:spacing w:after="0"/>
              <w:rPr>
                <w:sz w:val="9"/>
                <w:szCs w:val="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2026</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8"/>
                <w:szCs w:val="8"/>
                <w:b w:val="1"/>
                <w:bCs w:val="1"/>
                <w:color w:val="auto"/>
                <w:w w:val="99"/>
              </w:rPr>
              <w:t>2025</w:t>
            </w:r>
          </w:p>
        </w:tc>
      </w:tr>
      <w:tr>
        <w:trPr>
          <w:trHeight w:val="56"/>
        </w:trPr>
        <w:tc>
          <w:tcPr>
            <w:tcW w:w="84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44"/>
        </w:trPr>
        <w:tc>
          <w:tcPr>
            <w:tcW w:w="84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Same-facility Information </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2"/>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Cases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178,990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177,947</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Case growth</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42"/>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Revenue per case</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spacing w:after="0"/>
              <w:rPr>
                <w:sz w:val="12"/>
                <w:szCs w:val="12"/>
                <w:color w:val="auto"/>
              </w:rPr>
            </w:pPr>
          </w:p>
        </w:tc>
        <w:tc>
          <w:tcPr>
            <w:tcW w:w="5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5,073</w:t>
            </w:r>
          </w:p>
        </w:tc>
        <w:tc>
          <w:tcPr>
            <w:tcW w:w="100" w:type="dxa"/>
            <w:vAlign w:val="bottom"/>
          </w:tcPr>
          <w:p>
            <w:pPr>
              <w:spacing w:after="0"/>
              <w:rPr>
                <w:sz w:val="12"/>
                <w:szCs w:val="12"/>
                <w:color w:val="auto"/>
              </w:rPr>
            </w:pP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 per case growth</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3.8 %</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42"/>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Number of work days in the period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Case growth (days adjusted)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40"/>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Revenue growth (days adjusted)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4.4 %</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336"/>
        </w:trPr>
        <w:tc>
          <w:tcPr>
            <w:tcW w:w="8440" w:type="dxa"/>
            <w:vAlign w:val="bottom"/>
          </w:tcPr>
          <w:p>
            <w:pPr>
              <w:spacing w:after="0"/>
              <w:rPr>
                <w:sz w:val="20"/>
                <w:szCs w:val="20"/>
                <w:color w:val="auto"/>
              </w:rPr>
            </w:pPr>
            <w:r>
              <w:rPr>
                <w:rFonts w:ascii="Times New Roman" w:cs="Times New Roman" w:eastAsia="Times New Roman" w:hAnsi="Times New Roman"/>
                <w:sz w:val="10"/>
                <w:szCs w:val="10"/>
                <w:color w:val="auto"/>
                <w:vertAlign w:val="superscript"/>
              </w:rPr>
              <w:t>(1)</w:t>
            </w:r>
            <w:r>
              <w:rPr>
                <w:rFonts w:ascii="Times New Roman" w:cs="Times New Roman" w:eastAsia="Times New Roman" w:hAnsi="Times New Roman"/>
                <w:sz w:val="8"/>
                <w:szCs w:val="8"/>
                <w:color w:val="auto"/>
              </w:rPr>
              <w:t xml:space="preserve">  Same-facility information includes cases and revenues from our consolidated and non-consolidated surgical facilities (excluding facilities acquired in new markets or divested during the current and prior periods).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3"/>
        </w:trPr>
        <w:tc>
          <w:tcPr>
            <w:tcW w:w="8440" w:type="dxa"/>
            <w:vAlign w:val="bottom"/>
          </w:tcPr>
          <w:p>
            <w:pPr>
              <w:jc w:val="center"/>
              <w:ind w:left="2787"/>
              <w:spacing w:after="0"/>
              <w:rPr>
                <w:sz w:val="20"/>
                <w:szCs w:val="20"/>
                <w:color w:val="auto"/>
              </w:rPr>
            </w:pPr>
            <w:r>
              <w:rPr>
                <w:rFonts w:ascii="Times New Roman" w:cs="Times New Roman" w:eastAsia="Times New Roman" w:hAnsi="Times New Roman"/>
                <w:sz w:val="11"/>
                <w:szCs w:val="11"/>
                <w:b w:val="1"/>
                <w:bCs w:val="1"/>
                <w:color w:val="auto"/>
                <w:w w:val="97"/>
              </w:rPr>
              <w:t>SURGERY PARTNERS, INC.</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26"/>
        </w:trPr>
        <w:tc>
          <w:tcPr>
            <w:tcW w:w="8440" w:type="dxa"/>
            <w:vAlign w:val="bottom"/>
          </w:tcPr>
          <w:p>
            <w:pPr>
              <w:jc w:val="center"/>
              <w:ind w:left="2807"/>
              <w:spacing w:after="0"/>
              <w:rPr>
                <w:sz w:val="20"/>
                <w:szCs w:val="20"/>
                <w:color w:val="auto"/>
              </w:rPr>
            </w:pPr>
            <w:r>
              <w:rPr>
                <w:rFonts w:ascii="Times New Roman" w:cs="Times New Roman" w:eastAsia="Times New Roman" w:hAnsi="Times New Roman"/>
                <w:sz w:val="11"/>
                <w:szCs w:val="11"/>
                <w:b w:val="1"/>
                <w:bCs w:val="1"/>
                <w:color w:val="auto"/>
                <w:w w:val="97"/>
              </w:rPr>
              <w:t>Reconciliation of Non-GAAP Financial Measures</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35"/>
        </w:trPr>
        <w:tc>
          <w:tcPr>
            <w:tcW w:w="8440" w:type="dxa"/>
            <w:vAlign w:val="bottom"/>
          </w:tcPr>
          <w:p>
            <w:pPr>
              <w:jc w:val="center"/>
              <w:ind w:left="2787"/>
              <w:spacing w:after="0"/>
              <w:rPr>
                <w:sz w:val="20"/>
                <w:szCs w:val="20"/>
                <w:color w:val="auto"/>
              </w:rPr>
            </w:pPr>
            <w:r>
              <w:rPr>
                <w:rFonts w:ascii="Times New Roman" w:cs="Times New Roman" w:eastAsia="Times New Roman" w:hAnsi="Times New Roman"/>
                <w:sz w:val="11"/>
                <w:szCs w:val="11"/>
                <w:b w:val="1"/>
                <w:bCs w:val="1"/>
                <w:i w:val="1"/>
                <w:iCs w:val="1"/>
                <w:color w:val="auto"/>
                <w:w w:val="98"/>
              </w:rPr>
              <w:t>(Dollars in millions, except per share amounts, shares in thousands)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2"/>
        </w:trPr>
        <w:tc>
          <w:tcPr>
            <w:tcW w:w="8440" w:type="dxa"/>
            <w:vAlign w:val="bottom"/>
          </w:tcPr>
          <w:p>
            <w:pPr>
              <w:jc w:val="center"/>
              <w:ind w:left="2807"/>
              <w:spacing w:after="0"/>
              <w:rPr>
                <w:sz w:val="20"/>
                <w:szCs w:val="20"/>
                <w:color w:val="auto"/>
              </w:rPr>
            </w:pPr>
            <w:r>
              <w:rPr>
                <w:rFonts w:ascii="Times New Roman" w:cs="Times New Roman" w:eastAsia="Times New Roman" w:hAnsi="Times New Roman"/>
                <w:sz w:val="11"/>
                <w:szCs w:val="11"/>
                <w:b w:val="1"/>
                <w:bCs w:val="1"/>
                <w:i w:val="1"/>
                <w:iCs w:val="1"/>
                <w:color w:val="auto"/>
                <w:w w:val="98"/>
              </w:rPr>
              <w:t>(Unaudited)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9"/>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The following table reconciles Adjusted EBITDA to income before income taxes in the reported consolidated financial information, the most directly comparable GAAP financial measure: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59"/>
        </w:trPr>
        <w:tc>
          <w:tcPr>
            <w:tcW w:w="8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c>
          <w:tcPr>
            <w:tcW w:w="780" w:type="dxa"/>
            <w:vAlign w:val="bottom"/>
            <w:tcBorders>
              <w:bottom w:val="single" w:sz="8" w:color="auto"/>
            </w:tcBorders>
          </w:tcPr>
          <w:p>
            <w:pPr>
              <w:spacing w:after="0"/>
              <w:rPr>
                <w:sz w:val="22"/>
                <w:szCs w:val="22"/>
                <w:color w:val="auto"/>
              </w:rPr>
            </w:pPr>
          </w:p>
        </w:tc>
      </w:tr>
      <w:tr>
        <w:trPr>
          <w:trHeight w:val="108"/>
        </w:trPr>
        <w:tc>
          <w:tcPr>
            <w:tcW w:w="8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2026</w:t>
            </w: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8"/>
                <w:szCs w:val="8"/>
                <w:b w:val="1"/>
                <w:bCs w:val="1"/>
                <w:color w:val="auto"/>
                <w:w w:val="99"/>
              </w:rPr>
              <w:t>2025</w:t>
            </w:r>
          </w:p>
        </w:tc>
      </w:tr>
      <w:tr>
        <w:trPr>
          <w:trHeight w:val="92"/>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4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840" w:type="dxa"/>
            <w:vAlign w:val="bottom"/>
            <w:gridSpan w:val="2"/>
            <w:shd w:val="clear" w:color="auto" w:fill="CCEEFF"/>
          </w:tcPr>
          <w:p>
            <w:pPr>
              <w:jc w:val="right"/>
              <w:ind w:right="63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99"/>
        </w:trPr>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4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attributable to non-controlling interests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w:t>
            </w:r>
          </w:p>
        </w:tc>
      </w:tr>
      <w:tr>
        <w:trPr>
          <w:trHeight w:val="142"/>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 net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w:t>
            </w:r>
          </w:p>
        </w:tc>
      </w:tr>
      <w:tr>
        <w:trPr>
          <w:trHeight w:val="142"/>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Equity-based compensation expense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46"/>
        </w:trPr>
        <w:tc>
          <w:tcPr>
            <w:tcW w:w="84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1"/>
                <w:szCs w:val="11"/>
                <w:color w:val="auto"/>
              </w:rPr>
              <w:t xml:space="preserve">Transaction and integration costs </w:t>
            </w:r>
            <w:r>
              <w:rPr>
                <w:rFonts w:ascii="Times New Roman" w:cs="Times New Roman" w:eastAsia="Times New Roman" w:hAnsi="Times New Roman"/>
                <w:sz w:val="14"/>
                <w:szCs w:val="14"/>
                <w:color w:val="auto"/>
                <w:vertAlign w:val="superscript"/>
              </w:rPr>
              <w:t>(1)</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r>
      <w:tr>
        <w:trPr>
          <w:trHeight w:val="142"/>
        </w:trPr>
        <w:tc>
          <w:tcPr>
            <w:tcW w:w="8440" w:type="dxa"/>
            <w:vAlign w:val="bottom"/>
          </w:tcPr>
          <w:p>
            <w:pPr>
              <w:spacing w:after="0"/>
              <w:rPr>
                <w:sz w:val="20"/>
                <w:szCs w:val="20"/>
                <w:color w:val="auto"/>
              </w:rPr>
            </w:pPr>
            <w:r>
              <w:rPr>
                <w:rFonts w:ascii="Times New Roman" w:cs="Times New Roman" w:eastAsia="Times New Roman" w:hAnsi="Times New Roman"/>
                <w:sz w:val="11"/>
                <w:szCs w:val="11"/>
                <w:color w:val="auto"/>
              </w:rPr>
              <w:t>De novo start-up costs</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4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 on disposals, consolidations and deconsolidations</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44"/>
        </w:trPr>
        <w:tc>
          <w:tcPr>
            <w:tcW w:w="8440" w:type="dxa"/>
            <w:vAlign w:val="bottom"/>
            <w:tcBorders>
              <w:bottom w:val="single" w:sz="8" w:color="CCEEFF"/>
            </w:tcBorders>
          </w:tcPr>
          <w:p>
            <w:pPr>
              <w:spacing w:after="0" w:line="144" w:lineRule="exact"/>
              <w:rPr>
                <w:sz w:val="20"/>
                <w:szCs w:val="20"/>
                <w:color w:val="auto"/>
              </w:rPr>
            </w:pPr>
            <w:r>
              <w:rPr>
                <w:rFonts w:ascii="Times New Roman" w:cs="Times New Roman" w:eastAsia="Times New Roman" w:hAnsi="Times New Roman"/>
                <w:sz w:val="11"/>
                <w:szCs w:val="11"/>
                <w:color w:val="auto"/>
              </w:rPr>
              <w:t xml:space="preserve">Litigation settlements and other litigation costs </w:t>
            </w:r>
            <w:r>
              <w:rPr>
                <w:rFonts w:ascii="Times New Roman" w:cs="Times New Roman" w:eastAsia="Times New Roman" w:hAnsi="Times New Roman"/>
                <w:sz w:val="14"/>
                <w:szCs w:val="14"/>
                <w:color w:val="auto"/>
                <w:vertAlign w:val="superscript"/>
              </w:rPr>
              <w:t>(2)</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9"/>
        </w:trPr>
        <w:tc>
          <w:tcPr>
            <w:tcW w:w="844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1"/>
                <w:szCs w:val="11"/>
                <w:color w:val="auto"/>
              </w:rPr>
              <w:t xml:space="preserve">Adjusted EBITDA </w:t>
            </w:r>
            <w:r>
              <w:rPr>
                <w:rFonts w:ascii="Times New Roman" w:cs="Times New Roman" w:eastAsia="Times New Roman" w:hAnsi="Times New Roman"/>
                <w:sz w:val="14"/>
                <w:szCs w:val="14"/>
                <w:color w:val="auto"/>
                <w:vertAlign w:val="superscript"/>
              </w:rPr>
              <w:t>(3)</w:t>
            </w: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102.3</w:t>
            </w: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w:t>
            </w:r>
          </w:p>
        </w:tc>
      </w:tr>
    </w:tbl>
    <w:p>
      <w:pPr>
        <w:spacing w:after="0" w:line="187" w:lineRule="exact"/>
        <w:rPr>
          <w:sz w:val="20"/>
          <w:szCs w:val="20"/>
          <w:color w:val="auto"/>
        </w:rPr>
      </w:pPr>
    </w:p>
    <w:p>
      <w:pPr>
        <w:ind w:left="108" w:right="100" w:hanging="108"/>
        <w:spacing w:after="0" w:line="235" w:lineRule="auto"/>
        <w:tabs>
          <w:tab w:leader="none" w:pos="99"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For the three months ended March 31, 2026, this amount includes due diligence, transaction and integration costs related to acquisitions (both completed and in the pipeline) and divested facilities (collectively “M&amp;A costs”) of $11.8 million and other costs, including severance, IT implementation, revenue cycle standardization of $3.8 million. For the three months ended March 31, 2025, this amount includes M&amp;A costs of $16.8 million and other costs, including severance, IT implementation, revenue cycle standardization of $7.9 million.</w:t>
      </w:r>
    </w:p>
    <w:p>
      <w:pPr>
        <w:spacing w:after="0" w:line="9" w:lineRule="exact"/>
        <w:rPr>
          <w:rFonts w:ascii="Times New Roman" w:cs="Times New Roman" w:eastAsia="Times New Roman" w:hAnsi="Times New Roman"/>
          <w:sz w:val="11"/>
          <w:szCs w:val="11"/>
          <w:color w:val="auto"/>
          <w:vertAlign w:val="superscript"/>
        </w:rPr>
      </w:pPr>
    </w:p>
    <w:p>
      <w:pPr>
        <w:ind w:left="108" w:hanging="108"/>
        <w:spacing w:after="0"/>
        <w:tabs>
          <w:tab w:leader="none" w:pos="108"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This amount includes a litigation settlement loss of $2.5 million and $2.2 million for the three months ended March 31, 2026 and 2025, respectively. This amount also includes other litigation costs of $1.7 million and $0.5 million for the three months ended March 31, 2026 and 2025, respectively.</w:t>
      </w:r>
    </w:p>
    <w:p>
      <w:pPr>
        <w:spacing w:after="0" w:line="28" w:lineRule="exact"/>
        <w:rPr>
          <w:rFonts w:ascii="Times New Roman" w:cs="Times New Roman" w:eastAsia="Times New Roman" w:hAnsi="Times New Roman"/>
          <w:sz w:val="11"/>
          <w:szCs w:val="11"/>
          <w:color w:val="auto"/>
          <w:vertAlign w:val="superscript"/>
        </w:rPr>
      </w:pPr>
    </w:p>
    <w:p>
      <w:pPr>
        <w:ind w:left="108" w:right="20" w:hanging="108"/>
        <w:spacing w:after="0" w:line="244" w:lineRule="auto"/>
        <w:tabs>
          <w:tab w:leader="none" w:pos="99"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We use Adjusted EBITDA as a measure of financial performance. Adjusted EBITDA is a key measure used by management to assess operating performance, make business decisions and allocate resources. Non-controlling interests represent the interests of third parties, such as physicians, and in some cases, healthcare systems that own an interest in surgical facilities that we consolidate for financial reporting purposes. We believe that it is helpful to investors to present Adjusted EBITDA as defined above because it excludes the portion of net income attributable to these third-party interests and clarifies for investors our portion of Adjusted EBITDA generated by our surgical facilities and other operations. Adjusted EBITDA is not a measurement of financial performance under GAAP and should not be considered in isolation or as a substitute for net income, operating income or any other measure calculated in accordance with GAAP. The items excluded from Adjusted EBITDA are significant components in understanding and 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8"/>
          </w:cols>
          <w:pgMar w:left="292" w:top="920" w:right="29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color w:val="auto"/>
        </w:rPr>
        <w:t>The following table provides supplemental information for Adjusted EBITDA related to unconsolidated affiliates:</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7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c>
          <w:tcPr>
            <w:tcW w:w="720" w:type="dxa"/>
            <w:vAlign w:val="bottom"/>
            <w:tcBorders>
              <w:bottom w:val="single" w:sz="8" w:color="auto"/>
            </w:tcBorders>
          </w:tcPr>
          <w:p>
            <w:pPr>
              <w:spacing w:after="0"/>
              <w:rPr>
                <w:sz w:val="9"/>
                <w:szCs w:val="9"/>
                <w:color w:val="auto"/>
              </w:rPr>
            </w:pPr>
          </w:p>
        </w:tc>
      </w:tr>
      <w:tr>
        <w:trPr>
          <w:trHeight w:val="108"/>
        </w:trPr>
        <w:tc>
          <w:tcPr>
            <w:tcW w:w="870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2026</w:t>
            </w: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8"/>
                <w:szCs w:val="8"/>
                <w:b w:val="1"/>
                <w:bCs w:val="1"/>
                <w:color w:val="auto"/>
                <w:w w:val="99"/>
              </w:rPr>
              <w:t>2025</w:t>
            </w:r>
          </w:p>
        </w:tc>
      </w:tr>
      <w:tr>
        <w:trPr>
          <w:trHeight w:val="128"/>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EBITDA related to unconsolidated affiliates:</w:t>
            </w: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44"/>
        </w:trPr>
        <w:tc>
          <w:tcPr>
            <w:tcW w:w="87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 xml:space="preserve">Management fee revenues </w:t>
            </w:r>
            <w:r>
              <w:rPr>
                <w:rFonts w:ascii="Times New Roman" w:cs="Times New Roman" w:eastAsia="Times New Roman" w:hAnsi="Times New Roman"/>
                <w:sz w:val="14"/>
                <w:szCs w:val="14"/>
                <w:color w:val="auto"/>
                <w:vertAlign w:val="superscript"/>
              </w:rPr>
              <w:t>(1)(2)</w:t>
            </w:r>
          </w:p>
        </w:tc>
        <w:tc>
          <w:tcPr>
            <w:tcW w:w="720" w:type="dxa"/>
            <w:vAlign w:val="bottom"/>
          </w:tcPr>
          <w:p>
            <w:pPr>
              <w:jc w:val="right"/>
              <w:ind w:right="59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2"/>
                <w:szCs w:val="12"/>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r>
      <w:tr>
        <w:trPr>
          <w:trHeight w:val="144"/>
        </w:trPr>
        <w:tc>
          <w:tcPr>
            <w:tcW w:w="87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 xml:space="preserve">Equity in earnings of unconsolidated affiliates </w:t>
            </w:r>
            <w:r>
              <w:rPr>
                <w:rFonts w:ascii="Times New Roman" w:cs="Times New Roman" w:eastAsia="Times New Roman" w:hAnsi="Times New Roman"/>
                <w:sz w:val="14"/>
                <w:szCs w:val="14"/>
                <w:color w:val="auto"/>
                <w:vertAlign w:val="superscript"/>
              </w:rPr>
              <w:t>(2)</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r>
      <w:tr>
        <w:trPr>
          <w:trHeight w:val="143"/>
        </w:trPr>
        <w:tc>
          <w:tcPr>
            <w:tcW w:w="87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Plus: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5"/>
        </w:trPr>
        <w:tc>
          <w:tcPr>
            <w:tcW w:w="87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1"/>
                <w:szCs w:val="11"/>
                <w:color w:val="auto"/>
              </w:rPr>
              <w:t xml:space="preserve">Start-up costs related to unconsolidated de novo surgical facilities </w:t>
            </w:r>
            <w:r>
              <w:rPr>
                <w:rFonts w:ascii="Times New Roman" w:cs="Times New Roman" w:eastAsia="Times New Roman" w:hAnsi="Times New Roman"/>
                <w:sz w:val="14"/>
                <w:szCs w:val="14"/>
                <w:color w:val="auto"/>
                <w:vertAlign w:val="superscript"/>
              </w:rPr>
              <w:t>(3)</w:t>
            </w:r>
          </w:p>
        </w:tc>
        <w:tc>
          <w:tcPr>
            <w:tcW w:w="7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33"/>
        </w:trPr>
        <w:tc>
          <w:tcPr>
            <w:tcW w:w="8700" w:type="dxa"/>
            <w:vAlign w:val="bottom"/>
          </w:tcPr>
          <w:p>
            <w:pPr>
              <w:spacing w:after="0"/>
              <w:rPr>
                <w:sz w:val="20"/>
                <w:szCs w:val="20"/>
                <w:color w:val="auto"/>
              </w:rPr>
            </w:pPr>
            <w:r>
              <w:rPr>
                <w:rFonts w:ascii="Times New Roman" w:cs="Times New Roman" w:eastAsia="Times New Roman" w:hAnsi="Times New Roman"/>
                <w:sz w:val="11"/>
                <w:szCs w:val="11"/>
                <w:color w:val="auto"/>
              </w:rPr>
              <w:t>Adjusted EBITDA related to unconsolidated affiliates</w:t>
            </w:r>
          </w:p>
        </w:tc>
        <w:tc>
          <w:tcPr>
            <w:tcW w:w="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w:t>
            </w:r>
          </w:p>
        </w:tc>
      </w:tr>
      <w:tr>
        <w:trPr>
          <w:trHeight w:val="20"/>
        </w:trPr>
        <w:tc>
          <w:tcPr>
            <w:tcW w:w="8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108" w:hanging="108"/>
        <w:spacing w:after="0"/>
        <w:tabs>
          <w:tab w:leader="none" w:pos="108" w:val="left"/>
        </w:tabs>
        <w:numPr>
          <w:ilvl w:val="0"/>
          <w:numId w:val="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Includes management and administrative service fees derived from the non-consolidated facilities that the Company accounts for under the equity method and management of surgical facilities in which it does not own an interest. Management fee revenues are included in Revenues on the Consolidated Statements of Operations.</w:t>
      </w:r>
    </w:p>
    <w:p>
      <w:pPr>
        <w:spacing w:after="0" w:line="28" w:lineRule="exact"/>
        <w:rPr>
          <w:rFonts w:ascii="Times New Roman" w:cs="Times New Roman" w:eastAsia="Times New Roman" w:hAnsi="Times New Roman"/>
          <w:sz w:val="11"/>
          <w:szCs w:val="11"/>
          <w:color w:val="auto"/>
          <w:vertAlign w:val="superscript"/>
        </w:rPr>
      </w:pPr>
    </w:p>
    <w:p>
      <w:pPr>
        <w:ind w:left="108" w:hanging="108"/>
        <w:spacing w:after="0" w:line="201" w:lineRule="auto"/>
        <w:tabs>
          <w:tab w:leader="none" w:pos="108" w:val="left"/>
        </w:tabs>
        <w:numPr>
          <w:ilvl w:val="0"/>
          <w:numId w:val="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Included as a component of income before income taxes in the Adjusted EBITDA reconciliation table above.</w:t>
      </w:r>
    </w:p>
    <w:p>
      <w:pPr>
        <w:spacing w:after="0" w:line="36" w:lineRule="exact"/>
        <w:rPr>
          <w:rFonts w:ascii="Times New Roman" w:cs="Times New Roman" w:eastAsia="Times New Roman" w:hAnsi="Times New Roman"/>
          <w:sz w:val="11"/>
          <w:szCs w:val="11"/>
          <w:color w:val="auto"/>
          <w:vertAlign w:val="superscript"/>
        </w:rPr>
      </w:pPr>
    </w:p>
    <w:p>
      <w:pPr>
        <w:ind w:left="108" w:hanging="108"/>
        <w:spacing w:after="0" w:line="187" w:lineRule="auto"/>
        <w:tabs>
          <w:tab w:leader="none" w:pos="108" w:val="left"/>
        </w:tabs>
        <w:numPr>
          <w:ilvl w:val="0"/>
          <w:numId w:val="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Included as a component of de novo start-up costs in the Adjusted EBITDA reconciliation table above.</w:t>
      </w:r>
    </w:p>
    <w:p>
      <w:pPr>
        <w:spacing w:after="0" w:line="138" w:lineRule="exact"/>
        <w:rPr>
          <w:sz w:val="20"/>
          <w:szCs w:val="20"/>
          <w:color w:val="auto"/>
        </w:rPr>
      </w:pPr>
    </w:p>
    <w:p>
      <w:pPr>
        <w:ind w:left="8" w:right="260"/>
        <w:spacing w:after="0" w:line="251" w:lineRule="auto"/>
        <w:rPr>
          <w:sz w:val="20"/>
          <w:szCs w:val="20"/>
          <w:color w:val="auto"/>
        </w:rPr>
      </w:pPr>
      <w:r>
        <w:rPr>
          <w:rFonts w:ascii="Times New Roman" w:cs="Times New Roman" w:eastAsia="Times New Roman" w:hAnsi="Times New Roman"/>
          <w:sz w:val="11"/>
          <w:szCs w:val="11"/>
          <w:color w:val="auto"/>
        </w:rPr>
        <w:t>From time to time, the Company incurs certain non-recurring gains or losses that are normally non-operational in nature and management does not consider relevant in assessing its ongoing operating performance. When significant, Surgery Partners’ management and the Company's Board of Directors typically exclude these gains or losses when evaluating the Company’s operating performance and in certain instances when evaluating performance for incentive compensation purposes. Additionally, management believes that certain investors and equity analysts exclude these or similar items when evaluating the Company’s current or future operating performance and in making informed investment decisions regarding the Company. Accordingly, the Company provides adjusted net income attributable to common stockholders and adjusted net income per share attributable to common stockholders as supplements to the comparable GAAP financial measures. Adjusted net income attributable to common stockholders and adjusted net income per share attributable to common stockholders should not be considered measures of financial performance under GAAP, and the items excluded from such measures are significant components in understanding and assessing financial performance. These measures should not be considered in isolation or as an alternative to the comparable GAAP measures as presented in the consolidated financial statements.</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The following table reconciles net income (loss) as reflected in the consolidated statements of operations to adjusted net income attributable to common stockholders used to calculate adjusted net income per share attributable to common stockholders:</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86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Three Months Ended March 31,</w:t>
            </w:r>
          </w:p>
        </w:tc>
        <w:tc>
          <w:tcPr>
            <w:tcW w:w="760" w:type="dxa"/>
            <w:vAlign w:val="bottom"/>
            <w:tcBorders>
              <w:bottom w:val="single" w:sz="8" w:color="auto"/>
            </w:tcBorders>
          </w:tcPr>
          <w:p>
            <w:pPr>
              <w:spacing w:after="0"/>
              <w:rPr>
                <w:sz w:val="9"/>
                <w:szCs w:val="9"/>
                <w:color w:val="auto"/>
              </w:rPr>
            </w:pPr>
          </w:p>
        </w:tc>
      </w:tr>
      <w:tr>
        <w:trPr>
          <w:trHeight w:val="108"/>
        </w:trPr>
        <w:tc>
          <w:tcPr>
            <w:tcW w:w="8620" w:type="dxa"/>
            <w:vAlign w:val="bottom"/>
            <w:tcBorders>
              <w:bottom w:val="single" w:sz="8" w:color="CCEEFF"/>
            </w:tcBorders>
          </w:tcPr>
          <w:p>
            <w:pPr>
              <w:spacing w:after="0"/>
              <w:rPr>
                <w:sz w:val="9"/>
                <w:szCs w:val="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2026</w:t>
            </w: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8"/>
                <w:szCs w:val="8"/>
                <w:b w:val="1"/>
                <w:bCs w:val="1"/>
                <w:color w:val="auto"/>
              </w:rPr>
              <w:t>2025</w:t>
            </w:r>
          </w:p>
        </w:tc>
      </w:tr>
      <w:tr>
        <w:trPr>
          <w:trHeight w:val="128"/>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Consolidated Statements of Operations Data:</w:t>
            </w: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2"/>
        </w:trPr>
        <w:tc>
          <w:tcPr>
            <w:tcW w:w="862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w:t>
            </w:r>
          </w:p>
        </w:tc>
        <w:tc>
          <w:tcPr>
            <w:tcW w:w="740" w:type="dxa"/>
            <w:vAlign w:val="bottom"/>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2"/>
                <w:szCs w:val="12"/>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r>
      <w:tr>
        <w:trPr>
          <w:trHeight w:val="14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Plus (minus):</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2"/>
        </w:trPr>
        <w:tc>
          <w:tcPr>
            <w:tcW w:w="8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income attributable to non-controlling interests</w:t>
            </w:r>
          </w:p>
        </w:tc>
        <w:tc>
          <w:tcPr>
            <w:tcW w:w="7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r>
      <w:tr>
        <w:trPr>
          <w:trHeight w:val="14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Equity-based compensation expense</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42"/>
        </w:trPr>
        <w:tc>
          <w:tcPr>
            <w:tcW w:w="8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Transaction and integration costs</w:t>
            </w:r>
          </w:p>
        </w:tc>
        <w:tc>
          <w:tcPr>
            <w:tcW w:w="7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w:t>
            </w:r>
          </w:p>
        </w:tc>
      </w:tr>
      <w:tr>
        <w:trPr>
          <w:trHeight w:val="14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De novo start-up costs</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42"/>
        </w:trPr>
        <w:tc>
          <w:tcPr>
            <w:tcW w:w="8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 on disposals, consolidations and deconsolidations</w:t>
            </w:r>
          </w:p>
        </w:tc>
        <w:tc>
          <w:tcPr>
            <w:tcW w:w="7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r>
      <w:tr>
        <w:trPr>
          <w:trHeight w:val="14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Litigation settlements and other litigation costs</w:t>
            </w:r>
          </w:p>
        </w:tc>
        <w:tc>
          <w:tcPr>
            <w:tcW w:w="7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9"/>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Adjusted net income (loss) attributable to common stockholders</w:t>
            </w:r>
          </w:p>
        </w:tc>
        <w:tc>
          <w:tcPr>
            <w:tcW w:w="7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w:t>
            </w:r>
          </w:p>
        </w:tc>
      </w:tr>
      <w:tr>
        <w:trPr>
          <w:trHeight w:val="126"/>
        </w:trPr>
        <w:tc>
          <w:tcPr>
            <w:tcW w:w="86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42"/>
        </w:trPr>
        <w:tc>
          <w:tcPr>
            <w:tcW w:w="8620" w:type="dxa"/>
            <w:vAlign w:val="bottom"/>
          </w:tcPr>
          <w:p>
            <w:pPr>
              <w:spacing w:after="0"/>
              <w:rPr>
                <w:sz w:val="20"/>
                <w:szCs w:val="20"/>
                <w:color w:val="auto"/>
              </w:rPr>
            </w:pPr>
            <w:r>
              <w:rPr>
                <w:rFonts w:ascii="Times New Roman" w:cs="Times New Roman" w:eastAsia="Times New Roman" w:hAnsi="Times New Roman"/>
                <w:sz w:val="11"/>
                <w:szCs w:val="11"/>
                <w:color w:val="auto"/>
              </w:rPr>
              <w:t>Adjusted net income (loss) per share attributable to common stockholders</w:t>
            </w: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740" w:type="dxa"/>
            <w:vAlign w:val="bottom"/>
            <w:shd w:val="clear" w:color="auto" w:fill="CCEEFF"/>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0.04</w:t>
            </w:r>
          </w:p>
        </w:tc>
      </w:tr>
      <w:tr>
        <w:trPr>
          <w:trHeight w:val="144"/>
        </w:trPr>
        <w:tc>
          <w:tcPr>
            <w:tcW w:w="8620" w:type="dxa"/>
            <w:vAlign w:val="bottom"/>
          </w:tcPr>
          <w:p>
            <w:pPr>
              <w:ind w:left="140"/>
              <w:spacing w:after="0" w:line="144" w:lineRule="exact"/>
              <w:rPr>
                <w:sz w:val="20"/>
                <w:szCs w:val="20"/>
                <w:color w:val="auto"/>
              </w:rPr>
            </w:pPr>
            <w:r>
              <w:rPr>
                <w:rFonts w:ascii="Times New Roman" w:cs="Times New Roman" w:eastAsia="Times New Roman" w:hAnsi="Times New Roman"/>
                <w:sz w:val="11"/>
                <w:szCs w:val="11"/>
                <w:color w:val="auto"/>
              </w:rPr>
              <w:t xml:space="preserve">Diluted </w:t>
            </w:r>
            <w:r>
              <w:rPr>
                <w:rFonts w:ascii="Times New Roman" w:cs="Times New Roman" w:eastAsia="Times New Roman" w:hAnsi="Times New Roman"/>
                <w:sz w:val="14"/>
                <w:szCs w:val="14"/>
                <w:color w:val="auto"/>
                <w:vertAlign w:val="superscript"/>
              </w:rPr>
              <w:t>(1)</w:t>
            </w:r>
          </w:p>
        </w:tc>
        <w:tc>
          <w:tcPr>
            <w:tcW w:w="740" w:type="dxa"/>
            <w:vAlign w:val="bottom"/>
          </w:tcPr>
          <w:p>
            <w:pPr>
              <w:jc w:val="right"/>
              <w:ind w:right="6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2"/>
                <w:szCs w:val="12"/>
                <w:color w:val="auto"/>
              </w:rPr>
            </w:pPr>
          </w:p>
        </w:tc>
        <w:tc>
          <w:tcPr>
            <w:tcW w:w="540" w:type="dxa"/>
            <w:vAlign w:val="bottom"/>
          </w:tcPr>
          <w:p>
            <w:pPr>
              <w:jc w:val="right"/>
              <w:ind w:right="4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0.04</w:t>
            </w:r>
          </w:p>
        </w:tc>
      </w:tr>
      <w:tr>
        <w:trPr>
          <w:trHeight w:val="14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42"/>
        </w:trPr>
        <w:tc>
          <w:tcPr>
            <w:tcW w:w="8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Basic</w:t>
            </w:r>
          </w:p>
        </w:tc>
        <w:tc>
          <w:tcPr>
            <w:tcW w:w="7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128,367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126,602</w:t>
            </w:r>
          </w:p>
        </w:tc>
      </w:tr>
      <w:tr>
        <w:trPr>
          <w:trHeight w:val="146"/>
        </w:trPr>
        <w:tc>
          <w:tcPr>
            <w:tcW w:w="8620" w:type="dxa"/>
            <w:vAlign w:val="bottom"/>
            <w:shd w:val="clear" w:color="auto" w:fill="CCEEFF"/>
          </w:tcPr>
          <w:p>
            <w:pPr>
              <w:ind w:left="140"/>
              <w:spacing w:after="0" w:line="146" w:lineRule="exact"/>
              <w:rPr>
                <w:sz w:val="20"/>
                <w:szCs w:val="20"/>
                <w:color w:val="auto"/>
              </w:rPr>
            </w:pPr>
            <w:r>
              <w:rPr>
                <w:rFonts w:ascii="Times New Roman" w:cs="Times New Roman" w:eastAsia="Times New Roman" w:hAnsi="Times New Roman"/>
                <w:sz w:val="11"/>
                <w:szCs w:val="11"/>
                <w:color w:val="auto"/>
              </w:rPr>
              <w:t xml:space="preserve">Diluted </w:t>
            </w:r>
            <w:r>
              <w:rPr>
                <w:rFonts w:ascii="Times New Roman" w:cs="Times New Roman" w:eastAsia="Times New Roman" w:hAnsi="Times New Roman"/>
                <w:sz w:val="14"/>
                <w:szCs w:val="14"/>
                <w:color w:val="auto"/>
                <w:vertAlign w:val="superscript"/>
              </w:rPr>
              <w:t>(1)</w:t>
            </w: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128,367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127,697</w:t>
            </w:r>
          </w:p>
        </w:tc>
      </w:tr>
    </w:tbl>
    <w:p>
      <w:pPr>
        <w:spacing w:after="0" w:line="141" w:lineRule="exact"/>
        <w:rPr>
          <w:sz w:val="20"/>
          <w:szCs w:val="20"/>
          <w:color w:val="auto"/>
        </w:rPr>
      </w:pPr>
    </w:p>
    <w:p>
      <w:pPr>
        <w:ind w:left="148" w:hanging="148"/>
        <w:spacing w:after="0"/>
        <w:tabs>
          <w:tab w:leader="none" w:pos="148" w:val="left"/>
        </w:tabs>
        <w:numPr>
          <w:ilvl w:val="0"/>
          <w:numId w:val="8"/>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The impact of potentially dilutive securities for the three months ended March 31, 2026 was not considered because the effect would be anti-dilutive.</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b w:val="1"/>
          <w:bCs w:val="1"/>
          <w:color w:val="auto"/>
        </w:rPr>
        <w:t>Contact</w:t>
      </w:r>
    </w:p>
    <w:p>
      <w:pPr>
        <w:spacing w:after="0" w:line="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Surgery Partners Investor Relations</w:t>
      </w:r>
    </w:p>
    <w:p>
      <w:pPr>
        <w:spacing w:after="0" w:line="14" w:lineRule="exact"/>
        <w:rPr>
          <w:sz w:val="20"/>
          <w:szCs w:val="20"/>
          <w:color w:val="auto"/>
        </w:rPr>
      </w:pPr>
    </w:p>
    <w:p>
      <w:pPr>
        <w:ind w:left="8" w:right="10220" w:hanging="8"/>
        <w:spacing w:after="0" w:line="304" w:lineRule="auto"/>
        <w:tabs>
          <w:tab w:leader="none" w:pos="269"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234-8940 IR@surgerypartners.com</w:t>
      </w:r>
    </w:p>
    <w:p>
      <w:pPr>
        <w:spacing w:after="0" w:line="200" w:lineRule="exact"/>
        <w:rPr>
          <w:sz w:val="20"/>
          <w:szCs w:val="20"/>
          <w:color w:val="auto"/>
        </w:rPr>
      </w:pPr>
    </w:p>
    <w:p>
      <w:pPr>
        <w:spacing w:after="0" w:line="2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8"/>
          </w:cols>
          <w:pgMar w:left="292" w:top="921" w:right="299" w:bottom="144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6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2026-05-05T06:32:16Z</dcterms:created>
  <dcterms:modified xsi:type="dcterms:W3CDTF">2026-05-05T06:32:16Z</dcterms:modified>
</cp:coreProperties>
</file>